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BF0" w:rsidRPr="004E5D63" w:rsidRDefault="00C02436" w:rsidP="00E41B6E">
      <w:pPr>
        <w:pStyle w:val="HTMLPreformatted"/>
        <w:shd w:val="clear" w:color="auto" w:fill="F8F9FA"/>
        <w:jc w:val="center"/>
        <w:rPr>
          <w:rFonts w:ascii="Garamond" w:hAnsi="Garamond" w:cs="Times New Roman"/>
          <w:b/>
          <w:color w:val="222222"/>
          <w:sz w:val="28"/>
          <w:szCs w:val="28"/>
          <w:lang w:val="en"/>
        </w:rPr>
      </w:pPr>
      <w:r w:rsidRPr="004E5D63">
        <w:rPr>
          <w:rFonts w:ascii="Garamond" w:hAnsi="Garamond" w:cs="Times New Roman"/>
          <w:b/>
          <w:color w:val="222222"/>
          <w:sz w:val="28"/>
          <w:szCs w:val="28"/>
          <w:lang w:val="en"/>
        </w:rPr>
        <w:t xml:space="preserve">Gender Equality </w:t>
      </w:r>
      <w:r w:rsidR="008B3860" w:rsidRPr="004E5D63">
        <w:rPr>
          <w:rFonts w:ascii="Garamond" w:hAnsi="Garamond" w:cs="Times New Roman"/>
          <w:b/>
          <w:color w:val="222222"/>
          <w:sz w:val="28"/>
          <w:szCs w:val="28"/>
          <w:lang w:val="en"/>
        </w:rPr>
        <w:t>in Feminine Registers</w:t>
      </w:r>
      <w:r w:rsidRPr="004E5D63">
        <w:rPr>
          <w:rFonts w:ascii="Garamond" w:hAnsi="Garamond" w:cs="Times New Roman"/>
          <w:b/>
          <w:color w:val="222222"/>
          <w:sz w:val="28"/>
          <w:szCs w:val="28"/>
          <w:lang w:val="en"/>
        </w:rPr>
        <w:t xml:space="preserve"> Use</w:t>
      </w:r>
      <w:r w:rsidR="002926AD" w:rsidRPr="004E5D63">
        <w:rPr>
          <w:rFonts w:ascii="Garamond" w:hAnsi="Garamond" w:cs="Times New Roman"/>
          <w:b/>
          <w:color w:val="222222"/>
          <w:sz w:val="28"/>
          <w:szCs w:val="28"/>
          <w:lang w:val="en"/>
        </w:rPr>
        <w:t>d</w:t>
      </w:r>
      <w:r w:rsidR="008B3860" w:rsidRPr="004E5D63">
        <w:rPr>
          <w:rFonts w:ascii="Garamond" w:hAnsi="Garamond" w:cs="Times New Roman"/>
          <w:b/>
          <w:color w:val="222222"/>
          <w:sz w:val="28"/>
          <w:szCs w:val="28"/>
          <w:lang w:val="en"/>
        </w:rPr>
        <w:t xml:space="preserve"> by Female Parents in Blitar: A Case Study of Local Wisdom </w:t>
      </w:r>
      <w:r w:rsidR="002926AD" w:rsidRPr="004E5D63">
        <w:rPr>
          <w:rFonts w:ascii="Garamond" w:hAnsi="Garamond" w:cs="Times New Roman"/>
          <w:b/>
          <w:color w:val="222222"/>
          <w:sz w:val="28"/>
          <w:szCs w:val="28"/>
          <w:lang w:val="en"/>
        </w:rPr>
        <w:t>of Addressing</w:t>
      </w:r>
      <w:r w:rsidRPr="004E5D63">
        <w:rPr>
          <w:rFonts w:ascii="Garamond" w:hAnsi="Garamond" w:cs="Times New Roman"/>
          <w:b/>
          <w:color w:val="222222"/>
          <w:sz w:val="28"/>
          <w:szCs w:val="28"/>
          <w:lang w:val="en"/>
        </w:rPr>
        <w:t xml:space="preserve"> among Women with </w:t>
      </w:r>
    </w:p>
    <w:p w:rsidR="00B7304A" w:rsidRPr="004E5D63" w:rsidRDefault="00C02436" w:rsidP="00E41B6E">
      <w:pPr>
        <w:pStyle w:val="HTMLPreformatted"/>
        <w:shd w:val="clear" w:color="auto" w:fill="F8F9FA"/>
        <w:jc w:val="center"/>
        <w:rPr>
          <w:rFonts w:ascii="Garamond" w:hAnsi="Garamond" w:cs="Times New Roman"/>
          <w:b/>
          <w:color w:val="222222"/>
          <w:sz w:val="28"/>
          <w:szCs w:val="28"/>
          <w:lang w:val="en"/>
        </w:rPr>
      </w:pPr>
      <w:r w:rsidRPr="004E5D63">
        <w:rPr>
          <w:rFonts w:ascii="Garamond" w:hAnsi="Garamond" w:cs="Times New Roman"/>
          <w:b/>
          <w:color w:val="222222"/>
          <w:sz w:val="28"/>
          <w:szCs w:val="28"/>
          <w:lang w:val="en"/>
        </w:rPr>
        <w:t>Respect to their Husbands’ Titles</w:t>
      </w:r>
      <w:r w:rsidR="002926AD" w:rsidRPr="004E5D63">
        <w:rPr>
          <w:rFonts w:ascii="Garamond" w:hAnsi="Garamond" w:cs="Times New Roman"/>
          <w:b/>
          <w:color w:val="222222"/>
          <w:sz w:val="28"/>
          <w:szCs w:val="28"/>
          <w:lang w:val="en"/>
        </w:rPr>
        <w:t xml:space="preserve"> </w:t>
      </w:r>
      <w:r w:rsidR="008B3860" w:rsidRPr="004E5D63">
        <w:rPr>
          <w:rFonts w:ascii="Garamond" w:hAnsi="Garamond" w:cs="Times New Roman"/>
          <w:b/>
          <w:color w:val="222222"/>
          <w:sz w:val="28"/>
          <w:szCs w:val="28"/>
          <w:lang w:val="en"/>
        </w:rPr>
        <w:t xml:space="preserve">  </w:t>
      </w:r>
    </w:p>
    <w:p w:rsidR="00EE2201" w:rsidRPr="004E5D63" w:rsidRDefault="00EE2201" w:rsidP="00E41B6E">
      <w:pPr>
        <w:pStyle w:val="HTMLPreformatted"/>
        <w:shd w:val="clear" w:color="auto" w:fill="F8F9FA"/>
        <w:jc w:val="center"/>
        <w:rPr>
          <w:rFonts w:ascii="Garamond" w:hAnsi="Garamond" w:cs="Times New Roman"/>
          <w:color w:val="222222"/>
          <w:sz w:val="24"/>
          <w:szCs w:val="24"/>
          <w:lang w:val="en"/>
        </w:rPr>
      </w:pPr>
    </w:p>
    <w:p w:rsidR="00B7304A"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color w:val="222222"/>
          <w:sz w:val="24"/>
          <w:szCs w:val="24"/>
          <w:lang w:val="en"/>
        </w:rPr>
      </w:pPr>
      <w:r w:rsidRPr="004E5D63">
        <w:rPr>
          <w:rFonts w:ascii="Garamond" w:eastAsia="Times New Roman" w:hAnsi="Garamond" w:cs="Times New Roman"/>
          <w:b/>
          <w:color w:val="222222"/>
          <w:sz w:val="24"/>
          <w:szCs w:val="24"/>
          <w:vertAlign w:val="superscript"/>
          <w:lang w:val="en"/>
        </w:rPr>
        <w:t>1</w:t>
      </w:r>
      <w:r w:rsidR="00EE2201" w:rsidRPr="004E5D63">
        <w:rPr>
          <w:rFonts w:ascii="Garamond" w:eastAsia="Times New Roman" w:hAnsi="Garamond" w:cs="Times New Roman"/>
          <w:b/>
          <w:color w:val="222222"/>
          <w:sz w:val="24"/>
          <w:szCs w:val="24"/>
          <w:lang w:val="en"/>
        </w:rPr>
        <w:t>Bagus Waluyo</w:t>
      </w:r>
      <w:r w:rsidR="006214FF" w:rsidRPr="004E5D63">
        <w:rPr>
          <w:rFonts w:ascii="Garamond" w:eastAsia="Times New Roman" w:hAnsi="Garamond" w:cs="Times New Roman"/>
          <w:b/>
          <w:color w:val="222222"/>
          <w:sz w:val="24"/>
          <w:szCs w:val="24"/>
          <w:lang w:val="en"/>
        </w:rPr>
        <w:t xml:space="preserve">, </w:t>
      </w:r>
      <w:r w:rsidRPr="004E5D63">
        <w:rPr>
          <w:rFonts w:ascii="Garamond" w:eastAsia="Times New Roman" w:hAnsi="Garamond" w:cs="Times New Roman"/>
          <w:b/>
          <w:color w:val="222222"/>
          <w:sz w:val="24"/>
          <w:szCs w:val="24"/>
          <w:vertAlign w:val="superscript"/>
          <w:lang w:val="en"/>
        </w:rPr>
        <w:t>2</w:t>
      </w:r>
      <w:r w:rsidR="006214FF" w:rsidRPr="004E5D63">
        <w:rPr>
          <w:rFonts w:ascii="Garamond" w:eastAsia="Times New Roman" w:hAnsi="Garamond" w:cs="Times New Roman"/>
          <w:b/>
          <w:color w:val="222222"/>
          <w:sz w:val="24"/>
          <w:szCs w:val="24"/>
          <w:lang w:val="en"/>
        </w:rPr>
        <w:t>Ali Mustofa</w:t>
      </w:r>
    </w:p>
    <w:p w:rsidR="004E5D63" w:rsidRPr="004E5D63" w:rsidRDefault="00C02436" w:rsidP="004E5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hAnsi="Garamond" w:cs="Times New Roman"/>
          <w:sz w:val="24"/>
          <w:szCs w:val="24"/>
          <w:shd w:val="clear" w:color="auto" w:fill="FFFFFF"/>
        </w:rPr>
      </w:pPr>
      <w:r w:rsidRPr="004E5D63">
        <w:rPr>
          <w:rFonts w:ascii="Garamond" w:hAnsi="Garamond" w:cs="Times New Roman"/>
          <w:sz w:val="24"/>
          <w:szCs w:val="24"/>
          <w:shd w:val="clear" w:color="auto" w:fill="FFFFFF"/>
        </w:rPr>
        <w:t>Universitas Negeri Surabaya</w:t>
      </w:r>
    </w:p>
    <w:p w:rsidR="004E5D63" w:rsidRPr="004E5D63" w:rsidRDefault="00C02436" w:rsidP="004E5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sz w:val="24"/>
          <w:szCs w:val="24"/>
          <w:lang w:val="en"/>
        </w:rPr>
      </w:pPr>
      <w:r w:rsidRPr="004E5D63">
        <w:rPr>
          <w:rFonts w:ascii="Garamond" w:hAnsi="Garamond" w:cs="Times New Roman"/>
          <w:sz w:val="24"/>
          <w:szCs w:val="24"/>
          <w:shd w:val="clear" w:color="auto" w:fill="FFFFFF"/>
        </w:rPr>
        <w:t>Universitas Negeri Surabaya</w:t>
      </w:r>
    </w:p>
    <w:p w:rsidR="00B7304A"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hAnsi="Garamond" w:cs="Times New Roman"/>
          <w:i/>
          <w:sz w:val="24"/>
          <w:szCs w:val="24"/>
          <w:shd w:val="clear" w:color="auto" w:fill="FFFFFF"/>
        </w:rPr>
      </w:pPr>
      <w:r w:rsidRPr="004E5D63">
        <w:rPr>
          <w:rFonts w:ascii="Garamond" w:hAnsi="Garamond" w:cs="Times New Roman"/>
          <w:sz w:val="24"/>
          <w:szCs w:val="24"/>
          <w:vertAlign w:val="superscript"/>
        </w:rPr>
        <w:t>1</w:t>
      </w:r>
      <w:hyperlink r:id="rId7" w:history="1">
        <w:r w:rsidR="00EE2201" w:rsidRPr="004E5D63">
          <w:rPr>
            <w:rStyle w:val="Hyperlink"/>
            <w:rFonts w:ascii="Garamond" w:hAnsi="Garamond" w:cs="Times New Roman"/>
            <w:i/>
            <w:color w:val="auto"/>
            <w:sz w:val="24"/>
            <w:szCs w:val="24"/>
            <w:u w:val="none"/>
            <w:shd w:val="clear" w:color="auto" w:fill="FFFFFF"/>
          </w:rPr>
          <w:t>bagus.19003@mhs.unesa.ac.id</w:t>
        </w:r>
      </w:hyperlink>
      <w:r w:rsidR="006214FF" w:rsidRPr="004E5D63">
        <w:rPr>
          <w:rStyle w:val="Hyperlink"/>
          <w:rFonts w:ascii="Garamond" w:hAnsi="Garamond" w:cs="Times New Roman"/>
          <w:i/>
          <w:color w:val="auto"/>
          <w:sz w:val="24"/>
          <w:szCs w:val="24"/>
          <w:u w:val="none"/>
          <w:shd w:val="clear" w:color="auto" w:fill="FFFFFF"/>
        </w:rPr>
        <w:t>.,</w:t>
      </w:r>
      <w:r w:rsidRPr="004E5D63">
        <w:rPr>
          <w:rStyle w:val="Hyperlink"/>
          <w:rFonts w:ascii="Garamond" w:hAnsi="Garamond" w:cs="Times New Roman"/>
          <w:i/>
          <w:color w:val="auto"/>
          <w:sz w:val="24"/>
          <w:szCs w:val="24"/>
          <w:u w:val="none"/>
          <w:shd w:val="clear" w:color="auto" w:fill="FFFFFF"/>
          <w:vertAlign w:val="superscript"/>
        </w:rPr>
        <w:t>2</w:t>
      </w:r>
      <w:r w:rsidR="006214FF" w:rsidRPr="004E5D63">
        <w:rPr>
          <w:rStyle w:val="Hyperlink"/>
          <w:rFonts w:ascii="Garamond" w:hAnsi="Garamond" w:cs="Times New Roman"/>
          <w:i/>
          <w:color w:val="auto"/>
          <w:sz w:val="24"/>
          <w:szCs w:val="24"/>
          <w:u w:val="none"/>
          <w:shd w:val="clear" w:color="auto" w:fill="FFFFFF"/>
        </w:rPr>
        <w:t>alimustofa@unesa.ac.id</w:t>
      </w:r>
    </w:p>
    <w:p w:rsidR="006214FF" w:rsidRPr="004E5D63" w:rsidRDefault="006214FF"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sz w:val="24"/>
          <w:szCs w:val="24"/>
          <w:lang w:val="en"/>
        </w:rPr>
      </w:pPr>
    </w:p>
    <w:p w:rsidR="00B7304A" w:rsidRPr="004E5D63" w:rsidRDefault="00B7304A"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sz w:val="24"/>
          <w:szCs w:val="24"/>
          <w:lang w:val="en"/>
        </w:rPr>
      </w:pPr>
    </w:p>
    <w:p w:rsidR="00CC21E3"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color w:val="222222"/>
          <w:sz w:val="24"/>
          <w:szCs w:val="24"/>
          <w:lang w:val="en"/>
        </w:rPr>
      </w:pPr>
      <w:r w:rsidRPr="004E5D63">
        <w:rPr>
          <w:rFonts w:ascii="Garamond" w:eastAsia="Times New Roman" w:hAnsi="Garamond" w:cs="Times New Roman"/>
          <w:b/>
          <w:color w:val="222222"/>
          <w:sz w:val="24"/>
          <w:szCs w:val="24"/>
          <w:lang w:val="en"/>
        </w:rPr>
        <w:t>A</w:t>
      </w:r>
      <w:r w:rsidR="00EE2201" w:rsidRPr="004E5D63">
        <w:rPr>
          <w:rFonts w:ascii="Garamond" w:eastAsia="Times New Roman" w:hAnsi="Garamond" w:cs="Times New Roman"/>
          <w:b/>
          <w:color w:val="222222"/>
          <w:sz w:val="24"/>
          <w:szCs w:val="24"/>
          <w:lang w:val="en"/>
        </w:rPr>
        <w:t>bstract:</w:t>
      </w:r>
    </w:p>
    <w:p w:rsidR="00856BF0" w:rsidRPr="004E5D63" w:rsidRDefault="00856BF0"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color w:val="222222"/>
          <w:sz w:val="24"/>
          <w:szCs w:val="24"/>
          <w:lang w:val="en"/>
        </w:rPr>
      </w:pPr>
    </w:p>
    <w:p w:rsidR="008B3860" w:rsidRPr="00B67C21"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Arial"/>
          <w:color w:val="222222"/>
          <w:sz w:val="24"/>
          <w:szCs w:val="24"/>
          <w:lang w:val="en"/>
        </w:rPr>
      </w:pPr>
      <w:r w:rsidRPr="00B67C21">
        <w:rPr>
          <w:rFonts w:ascii="Garamond" w:eastAsia="Times New Roman" w:hAnsi="Garamond" w:cs="Arial"/>
          <w:color w:val="222222"/>
          <w:sz w:val="24"/>
          <w:szCs w:val="24"/>
          <w:lang w:val="en"/>
        </w:rPr>
        <w:t>This paper briefly shares the custom of recognizing both speakers and hearers by using special registers to call upon others. The theoretical framework used in the present form is Gender Construction in content analysis. The research observed two hundred selected female parents who have practiced mixed calling among male and female genders. They were the respondents of this research. The Data were collected using interviews and recordings that were carried out through online discussion within two weeks during female parental activities of the home financial industry [PKK]. It is because, during the pandemic of COVID 19, the activities were set to be online. The analysis revealed that during the interaction among female parents, they addressed each other's name by mentioning their husbands' names for several reasons: 1) a lack of self-confidence which is influenced by their habits of always glorifying their husbands in all their activities, 2) Javanese culture in the city of Blitar still binds them, and It is complicated to get rid of it, 3) most of the mothers still have lower occupational education than their husbands, and 4) they are more respected by others if the husband's name is always attached to every activity. The discussion provides a new perspective on the nature of gender equality in regions that still have a strong bond to their local value. This study also approves that addressing each other’s</w:t>
      </w:r>
      <w:r w:rsidRPr="00B67C21">
        <w:rPr>
          <w:rFonts w:ascii="Garamond" w:eastAsia="Times New Roman" w:hAnsi="Garamond" w:cs="Times New Roman"/>
          <w:color w:val="222222"/>
          <w:sz w:val="24"/>
          <w:szCs w:val="24"/>
          <w:lang w:val="en"/>
        </w:rPr>
        <w:t xml:space="preserve"> names among women </w:t>
      </w:r>
      <w:r w:rsidRPr="00B67C21">
        <w:rPr>
          <w:rFonts w:ascii="Garamond" w:eastAsia="Times New Roman" w:hAnsi="Garamond" w:cs="Arial"/>
          <w:color w:val="222222"/>
          <w:sz w:val="24"/>
          <w:szCs w:val="24"/>
          <w:lang w:val="en"/>
        </w:rPr>
        <w:t xml:space="preserve">in Blitar is considered as local wisdom as well as an oral tradition. </w:t>
      </w:r>
    </w:p>
    <w:p w:rsidR="00CC21E3" w:rsidRPr="00B67C21"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Arial"/>
          <w:color w:val="222222"/>
          <w:sz w:val="24"/>
          <w:szCs w:val="24"/>
        </w:rPr>
      </w:pPr>
      <w:r w:rsidRPr="00B67C21">
        <w:rPr>
          <w:rFonts w:ascii="Garamond" w:eastAsia="Times New Roman" w:hAnsi="Garamond" w:cs="Arial"/>
          <w:b/>
          <w:color w:val="222222"/>
          <w:sz w:val="24"/>
          <w:szCs w:val="24"/>
          <w:lang w:val="en"/>
        </w:rPr>
        <w:t>Keywords:</w:t>
      </w:r>
      <w:r w:rsidRPr="00B67C21">
        <w:rPr>
          <w:rFonts w:ascii="Garamond" w:eastAsia="Times New Roman" w:hAnsi="Garamond" w:cs="Arial"/>
          <w:color w:val="222222"/>
          <w:sz w:val="24"/>
          <w:szCs w:val="24"/>
          <w:lang w:val="en"/>
        </w:rPr>
        <w:t xml:space="preserve"> </w:t>
      </w:r>
      <w:r w:rsidR="00375FD9" w:rsidRPr="00B67C21">
        <w:rPr>
          <w:rFonts w:ascii="Garamond" w:eastAsia="Times New Roman" w:hAnsi="Garamond" w:cs="Arial"/>
          <w:i/>
          <w:color w:val="222222"/>
          <w:sz w:val="24"/>
          <w:szCs w:val="24"/>
          <w:lang w:val="en"/>
        </w:rPr>
        <w:t>l</w:t>
      </w:r>
      <w:r w:rsidR="004E5D63" w:rsidRPr="00B67C21">
        <w:rPr>
          <w:rFonts w:ascii="Garamond" w:eastAsia="Times New Roman" w:hAnsi="Garamond" w:cs="Arial"/>
          <w:i/>
          <w:color w:val="222222"/>
          <w:sz w:val="24"/>
          <w:szCs w:val="24"/>
          <w:lang w:val="en"/>
        </w:rPr>
        <w:t>ocal wisdom; gender equality;</w:t>
      </w:r>
      <w:r w:rsidRPr="00B67C21">
        <w:rPr>
          <w:rFonts w:ascii="Garamond" w:eastAsia="Times New Roman" w:hAnsi="Garamond" w:cs="Arial"/>
          <w:i/>
          <w:color w:val="222222"/>
          <w:sz w:val="24"/>
          <w:szCs w:val="24"/>
          <w:lang w:val="en"/>
        </w:rPr>
        <w:t xml:space="preserve"> female</w:t>
      </w:r>
      <w:r w:rsidR="00ED094E">
        <w:rPr>
          <w:rFonts w:ascii="Garamond" w:eastAsia="Times New Roman" w:hAnsi="Garamond" w:cs="Arial"/>
          <w:i/>
          <w:color w:val="222222"/>
          <w:sz w:val="24"/>
          <w:szCs w:val="24"/>
          <w:lang w:val="en"/>
        </w:rPr>
        <w:t xml:space="preserve">; </w:t>
      </w:r>
      <w:r w:rsidR="004E5D63" w:rsidRPr="00B67C21">
        <w:rPr>
          <w:rFonts w:ascii="Garamond" w:eastAsia="Times New Roman" w:hAnsi="Garamond" w:cs="Arial"/>
          <w:i/>
          <w:color w:val="222222"/>
          <w:sz w:val="24"/>
          <w:szCs w:val="24"/>
          <w:lang w:val="en"/>
        </w:rPr>
        <w:t xml:space="preserve">parent; </w:t>
      </w:r>
      <w:r w:rsidR="00B22872" w:rsidRPr="00B67C21">
        <w:rPr>
          <w:rFonts w:ascii="Garamond" w:eastAsia="Times New Roman" w:hAnsi="Garamond" w:cs="Arial"/>
          <w:i/>
          <w:color w:val="222222"/>
          <w:sz w:val="24"/>
          <w:szCs w:val="24"/>
          <w:lang w:val="en"/>
        </w:rPr>
        <w:t>oral tradition</w:t>
      </w:r>
    </w:p>
    <w:p w:rsidR="00D01494" w:rsidRPr="004E5D63" w:rsidRDefault="00D01494" w:rsidP="00E41B6E">
      <w:pPr>
        <w:spacing w:line="240" w:lineRule="auto"/>
        <w:jc w:val="both"/>
        <w:rPr>
          <w:rFonts w:ascii="Garamond" w:hAnsi="Garamond" w:cs="Times New Roman"/>
          <w:sz w:val="24"/>
          <w:szCs w:val="24"/>
        </w:rPr>
      </w:pPr>
    </w:p>
    <w:p w:rsidR="00491039" w:rsidRDefault="00C02436" w:rsidP="00491039">
      <w:pPr>
        <w:pStyle w:val="ListParagraph"/>
        <w:numPr>
          <w:ilvl w:val="0"/>
          <w:numId w:val="1"/>
        </w:numPr>
        <w:spacing w:line="240" w:lineRule="auto"/>
        <w:ind w:left="720"/>
        <w:jc w:val="both"/>
        <w:rPr>
          <w:rFonts w:ascii="Garamond" w:hAnsi="Garamond" w:cs="Times New Roman"/>
          <w:b/>
          <w:sz w:val="24"/>
          <w:szCs w:val="24"/>
        </w:rPr>
      </w:pPr>
      <w:r w:rsidRPr="004E5D63">
        <w:rPr>
          <w:rFonts w:ascii="Garamond" w:hAnsi="Garamond" w:cs="Times New Roman"/>
          <w:b/>
          <w:sz w:val="24"/>
          <w:szCs w:val="24"/>
        </w:rPr>
        <w:t>Introduction</w:t>
      </w:r>
    </w:p>
    <w:p w:rsidR="00491039" w:rsidRPr="00491039" w:rsidRDefault="00491039" w:rsidP="00491039">
      <w:pPr>
        <w:pStyle w:val="ListParagraph"/>
        <w:spacing w:line="240" w:lineRule="auto"/>
        <w:jc w:val="both"/>
        <w:rPr>
          <w:rFonts w:ascii="Garamond" w:hAnsi="Garamond" w:cs="Times New Roman"/>
          <w:b/>
          <w:sz w:val="24"/>
          <w:szCs w:val="24"/>
        </w:rPr>
      </w:pPr>
    </w:p>
    <w:p w:rsidR="00171F6E" w:rsidRPr="004E5D63" w:rsidRDefault="00C0243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Blitar is a small city located in the province of East Java, Indonesia. Since the independence era until now, the people still believe in local wisdom such as everyday life, he said, recognition of the more exalted degree of man, and many more that are still sacred. It is because Javanese Culture is still attached to their entire life so that non-Javanese culture that enters will experience severe obstacles.</w:t>
      </w:r>
      <w:r w:rsidR="00AD0BBF" w:rsidRPr="004E5D63">
        <w:rPr>
          <w:rFonts w:ascii="Garamond" w:eastAsia="Times New Roman" w:hAnsi="Garamond" w:cs="Times New Roman"/>
          <w:color w:val="222222"/>
          <w:sz w:val="24"/>
          <w:szCs w:val="24"/>
          <w:lang w:val="en"/>
        </w:rPr>
        <w:t xml:space="preserve"> Paradoxically while ethnic and regional secession recurrently threatens national unity, indigenous cultures provide a repository of traditions and symbols that the political leaders and the national elite can use to forge a national identity and foster a sense of community </w:t>
      </w:r>
      <w:r w:rsidR="004F4E28" w:rsidRPr="004E5D63">
        <w:rPr>
          <w:rFonts w:ascii="Garamond" w:eastAsia="Times New Roman" w:hAnsi="Garamond" w:cs="Times New Roman"/>
          <w:color w:val="222222"/>
          <w:sz w:val="24"/>
          <w:szCs w:val="24"/>
          <w:lang w:val="en"/>
        </w:rPr>
        <w:fldChar w:fldCharType="begin" w:fldLock="1"/>
      </w:r>
      <w:r w:rsidR="004F4E28" w:rsidRPr="004E5D63">
        <w:rPr>
          <w:rFonts w:ascii="Garamond" w:eastAsia="Times New Roman" w:hAnsi="Garamond" w:cs="Times New Roman"/>
          <w:color w:val="222222"/>
          <w:sz w:val="24"/>
          <w:szCs w:val="24"/>
          <w:lang w:val="en"/>
        </w:rPr>
        <w:instrText>ADDIN CSL_CITATION {"citationItems":[{"id":"ITEM-1","itemData":{"author":[{"dropping-particle":"","family":"Dahles","given":"Heidi","non-dropping-particle":"","parse-names":false,"suffix":""}],"id":"ITEM-1","issued":{"date-parts":[["2001"]]},"publisher":"TJ International, Padstow, Cornwall","publisher-place":"Great Britain","title":"Tourism, Heritage and National Culture in Java: Dilemmas of a Local Community","type":"book"},"uris":["http://www.mendeley.com/documents/?uuid=510f2cc0-690d-4930-88c6-2d6f0bd5a32e"]}],"mendeley":{"formattedCitation":"(Dahles, 2001)","plainTextFormattedCitation":"(Dahles, 2001)","previouslyFormattedCitation":"(Dahles, 2001)"},"properties":{"noteIndex":0},"schema":"https://github.com/citation-style-language/schema/raw/master/csl-citation.json"}</w:instrText>
      </w:r>
      <w:r w:rsidR="004F4E28" w:rsidRPr="004E5D63">
        <w:rPr>
          <w:rFonts w:ascii="Garamond" w:eastAsia="Times New Roman" w:hAnsi="Garamond" w:cs="Times New Roman"/>
          <w:color w:val="222222"/>
          <w:sz w:val="24"/>
          <w:szCs w:val="24"/>
          <w:lang w:val="en"/>
        </w:rPr>
        <w:fldChar w:fldCharType="separate"/>
      </w:r>
      <w:r w:rsidR="004F4E28" w:rsidRPr="004E5D63">
        <w:rPr>
          <w:rFonts w:ascii="Garamond" w:eastAsia="Times New Roman" w:hAnsi="Garamond" w:cs="Times New Roman"/>
          <w:noProof/>
          <w:color w:val="222222"/>
          <w:sz w:val="24"/>
          <w:szCs w:val="24"/>
          <w:lang w:val="en"/>
        </w:rPr>
        <w:t>(Dahles, 2001)</w:t>
      </w:r>
      <w:r w:rsidR="004F4E28" w:rsidRPr="004E5D63">
        <w:rPr>
          <w:rFonts w:ascii="Garamond" w:eastAsia="Times New Roman" w:hAnsi="Garamond" w:cs="Times New Roman"/>
          <w:color w:val="222222"/>
          <w:sz w:val="24"/>
          <w:szCs w:val="24"/>
          <w:lang w:val="en"/>
        </w:rPr>
        <w:fldChar w:fldCharType="end"/>
      </w:r>
      <w:r w:rsidR="00E55837" w:rsidRPr="004E5D63">
        <w:rPr>
          <w:rFonts w:ascii="Garamond" w:eastAsia="Times New Roman" w:hAnsi="Garamond" w:cs="Times New Roman"/>
          <w:color w:val="222222"/>
          <w:sz w:val="24"/>
          <w:szCs w:val="24"/>
          <w:lang w:val="en"/>
        </w:rPr>
        <w:t xml:space="preserve">. </w:t>
      </w:r>
      <w:r w:rsidR="003C1C7E" w:rsidRPr="003C1C7E">
        <w:rPr>
          <w:rFonts w:ascii="Garamond" w:hAnsi="Garamond" w:cs="Times New Roman"/>
          <w:color w:val="000000"/>
          <w:sz w:val="24"/>
          <w:szCs w:val="24"/>
        </w:rPr>
        <w:t>There are quality dealings in the Islamic society's high-power structure because the churchgoing body is comfort submissive by men patch women are advised as a supporter and meagerly groups</w:t>
      </w:r>
      <w:r w:rsidR="004F4E28" w:rsidRPr="004E5D63">
        <w:rPr>
          <w:rFonts w:ascii="Garamond" w:hAnsi="Garamond" w:cs="Times New Roman"/>
          <w:color w:val="000000"/>
          <w:sz w:val="24"/>
          <w:szCs w:val="24"/>
        </w:rPr>
        <w:t xml:space="preserve"> </w:t>
      </w:r>
      <w:r w:rsidR="004F4E28" w:rsidRPr="004E5D63">
        <w:rPr>
          <w:rFonts w:ascii="Garamond" w:hAnsi="Garamond" w:cs="Times New Roman"/>
          <w:color w:val="000000"/>
          <w:sz w:val="24"/>
          <w:szCs w:val="24"/>
        </w:rPr>
        <w:fldChar w:fldCharType="begin" w:fldLock="1"/>
      </w:r>
      <w:r w:rsidR="004F4E28" w:rsidRPr="004E5D63">
        <w:rPr>
          <w:rFonts w:ascii="Garamond" w:hAnsi="Garamond" w:cs="Times New Roman"/>
          <w:color w:val="000000"/>
          <w:sz w:val="24"/>
          <w:szCs w:val="24"/>
        </w:rPr>
        <w:instrText>ADDIN CSL_CITATION {"citationItems":[{"id":"ITEM-1","itemData":{"DOI":"10.15642/JIIS.2017.11.2.459-488","ISSN":"23556994","abstract":"This paper applies an Islamic legal sociology approach to criticize the typology of East Java society and their views on gender equality, women's empowerment, and women's roles in mosques based on the subcultures of East Java community: Mataraman, Tapal kuda, and Arek'an. The concept of male-female equality has not been fully accepted by religious leaders. There is a power relation in the Muslim society’s high-power structure because religious leaders are still dominated by men while women are considered as subordinate and marginal groups. On the one hand, there is still a patriarchal cultural-based political configuration that affects gender discrimination. On the other hand, the Muslim community has not been completely established to protect women. Finally, the finding of this paper is that the role of mosque-based women in three sub-cultures of East Java shows different results. The subculture of Mataraman tends to be culture-based, whereas religion is considered as a supporting factor. The subculture of Tapal Kuda prefers to collaborate religious views with patriarchal cultures. Finally, the subculture of Arek'an is likely to dialogue religion with culture more inclusively. A progressive mosque that provides women's empowerment may break the chain of the gender-biased understanding and change the mindsets of patriarchal Muslim societies through dialogue, social interaction, and productive activities.","author":[{"dropping-particle":"","family":"Mufidah","given":"Ch","non-dropping-particle":"","parse-names":false,"suffix":""}],"container-title":"Journal of Indonesian Islam","id":"ITEM-1","issue":"2","issued":{"date-parts":[["2017"]]},"page":"459-488","title":"Complexities in dealing with gender inequality: Muslim women and mosque-based social services in East Java Indonesia","type":"article-journal","volume":"11"},"uris":["http://www.mendeley.com/documents/?uuid=eb4514ce-e53a-48b8-8241-be5bcee9252e"]}],"mendeley":{"formattedCitation":"(Mufidah, 2017)","plainTextFormattedCitation":"(Mufidah, 2017)","previouslyFormattedCitation":"(Mufidah, 2017)"},"properties":{"noteIndex":0},"schema":"https://github.com/citation-style-language/schema/raw/master/csl-citation.json"}</w:instrText>
      </w:r>
      <w:r w:rsidR="004F4E28" w:rsidRPr="004E5D63">
        <w:rPr>
          <w:rFonts w:ascii="Garamond" w:hAnsi="Garamond" w:cs="Times New Roman"/>
          <w:color w:val="000000"/>
          <w:sz w:val="24"/>
          <w:szCs w:val="24"/>
        </w:rPr>
        <w:fldChar w:fldCharType="separate"/>
      </w:r>
      <w:r w:rsidR="004F4E28" w:rsidRPr="004E5D63">
        <w:rPr>
          <w:rFonts w:ascii="Garamond" w:hAnsi="Garamond" w:cs="Times New Roman"/>
          <w:noProof/>
          <w:color w:val="000000"/>
          <w:sz w:val="24"/>
          <w:szCs w:val="24"/>
        </w:rPr>
        <w:t>(Mufidah, 2017)</w:t>
      </w:r>
      <w:r w:rsidR="004F4E28" w:rsidRPr="004E5D63">
        <w:rPr>
          <w:rFonts w:ascii="Garamond" w:hAnsi="Garamond" w:cs="Times New Roman"/>
          <w:color w:val="000000"/>
          <w:sz w:val="24"/>
          <w:szCs w:val="24"/>
        </w:rPr>
        <w:fldChar w:fldCharType="end"/>
      </w:r>
      <w:r w:rsidR="00E55837" w:rsidRPr="004E5D63">
        <w:rPr>
          <w:rFonts w:ascii="Garamond" w:hAnsi="Garamond" w:cs="Times New Roman"/>
          <w:color w:val="000000"/>
          <w:sz w:val="24"/>
          <w:szCs w:val="24"/>
        </w:rPr>
        <w:t>.</w:t>
      </w:r>
      <w:r w:rsidR="00E55837" w:rsidRPr="004E5D63">
        <w:rPr>
          <w:rFonts w:ascii="Garamond" w:hAnsi="Garamond" w:cs="Times New Roman"/>
          <w:color w:val="242021"/>
          <w:sz w:val="24"/>
          <w:szCs w:val="24"/>
        </w:rPr>
        <w:t xml:space="preserve"> </w:t>
      </w:r>
      <w:r w:rsidR="003C1C7E" w:rsidRPr="003C1C7E">
        <w:rPr>
          <w:rFonts w:ascii="Garamond" w:hAnsi="Garamond" w:cs="Times New Roman"/>
          <w:color w:val="242021"/>
          <w:sz w:val="24"/>
          <w:szCs w:val="24"/>
        </w:rPr>
        <w:t>Individual ascendance of females withal relic universal regularize in the most progressive elected commonwealth states.the common assumption legitimizes that structure reflects the presence of God settled by</w:t>
      </w:r>
      <w:r w:rsidR="00E55837" w:rsidRPr="004E5D63">
        <w:rPr>
          <w:rFonts w:ascii="Garamond" w:hAnsi="Garamond" w:cs="Times New Roman"/>
          <w:color w:val="242021"/>
          <w:sz w:val="24"/>
          <w:szCs w:val="24"/>
        </w:rPr>
        <w:t xml:space="preserve"> </w:t>
      </w:r>
      <w:r w:rsidR="004F4E28" w:rsidRPr="004E5D63">
        <w:rPr>
          <w:rFonts w:ascii="Garamond" w:hAnsi="Garamond" w:cs="Times New Roman"/>
          <w:color w:val="242021"/>
          <w:sz w:val="24"/>
          <w:szCs w:val="24"/>
        </w:rPr>
        <w:fldChar w:fldCharType="begin" w:fldLock="1"/>
      </w:r>
      <w:r w:rsidR="004F4E28" w:rsidRPr="004E5D63">
        <w:rPr>
          <w:rFonts w:ascii="Garamond" w:hAnsi="Garamond" w:cs="Times New Roman"/>
          <w:color w:val="242021"/>
          <w:sz w:val="24"/>
          <w:szCs w:val="24"/>
        </w:rPr>
        <w:instrText>ADDIN CSL_CITATION {"citationItems":[{"id":"ITEM-1","itemData":{"DOI":"10.1080/0020739850160505","ISBN":"0020739850","ISSN":"14645211","abstract":"It is suggested that the philosophy of mathematics is relevant to mathematics education (1) because the philosophical schools of thought have a direct bearing on educational issues and (2) because new entrants to teaching may bring with them undiluted theoretical views on the nature of mathematics. The views of the following five schools of thought are sketched: Logicism, Formalism, Constructivism, Platonism and Falliblism. Subsequently the relationship between these views and certain current issues in mathematics education is discussed. It is concluded that each of the views provides insights as to the nature of mathematics, but that Falliblism is perhaps the only viewpoint compatible with humane mathematics education. © Taylor and Francis Group, LLC.","author":[{"dropping-particle":"","family":"Ernest","given":"Paul","non-dropping-particle":"","parse-names":false,"suffix":""}],"container-title":"International Journal of Mathematical Education in Science and Technology","id":"ITEM-1","issue":"5","issued":{"date-parts":[["1985"]]},"page":"603-612","title":"The philosophy of mathematics and mathematics education","type":"article-journal","volume":"16"},"uris":["http://www.mendeley.com/documents/?uuid=3bfb6b40-d2a0-4d7c-9b35-2e3111a5b68b"]}],"mendeley":{"formattedCitation":"(Ernest, 1985)","plainTextFormattedCitation":"(Ernest, 1985)","previouslyFormattedCitation":"(Ernest, 1985)"},"properties":{"noteIndex":0},"schema":"https://github.com/citation-style-language/schema/raw/master/csl-citation.json"}</w:instrText>
      </w:r>
      <w:r w:rsidR="004F4E28" w:rsidRPr="004E5D63">
        <w:rPr>
          <w:rFonts w:ascii="Garamond" w:hAnsi="Garamond" w:cs="Times New Roman"/>
          <w:color w:val="242021"/>
          <w:sz w:val="24"/>
          <w:szCs w:val="24"/>
        </w:rPr>
        <w:fldChar w:fldCharType="separate"/>
      </w:r>
      <w:r w:rsidR="004F4E28" w:rsidRPr="004E5D63">
        <w:rPr>
          <w:rFonts w:ascii="Garamond" w:hAnsi="Garamond" w:cs="Times New Roman"/>
          <w:noProof/>
          <w:color w:val="242021"/>
          <w:sz w:val="24"/>
          <w:szCs w:val="24"/>
        </w:rPr>
        <w:t>(Ernest, 1985)</w:t>
      </w:r>
      <w:r w:rsidR="004F4E28" w:rsidRPr="004E5D63">
        <w:rPr>
          <w:rFonts w:ascii="Garamond" w:hAnsi="Garamond" w:cs="Times New Roman"/>
          <w:color w:val="242021"/>
          <w:sz w:val="24"/>
          <w:szCs w:val="24"/>
        </w:rPr>
        <w:fldChar w:fldCharType="end"/>
      </w:r>
      <w:r w:rsidR="004F4E28" w:rsidRPr="004E5D63">
        <w:rPr>
          <w:rFonts w:ascii="Garamond" w:hAnsi="Garamond" w:cs="Times New Roman"/>
          <w:color w:val="242021"/>
          <w:sz w:val="24"/>
          <w:szCs w:val="24"/>
        </w:rPr>
        <w:t xml:space="preserve"> and</w:t>
      </w:r>
      <w:r w:rsidR="00E55837" w:rsidRPr="004E5D63">
        <w:rPr>
          <w:rFonts w:ascii="Garamond" w:hAnsi="Garamond" w:cs="Times New Roman"/>
          <w:color w:val="242021"/>
          <w:sz w:val="24"/>
          <w:szCs w:val="24"/>
        </w:rPr>
        <w:t xml:space="preserve"> </w:t>
      </w:r>
      <w:r w:rsidR="004F4E28" w:rsidRPr="004E5D63">
        <w:rPr>
          <w:rFonts w:ascii="Garamond" w:hAnsi="Garamond" w:cs="Times New Roman"/>
          <w:color w:val="242021"/>
          <w:sz w:val="24"/>
          <w:szCs w:val="24"/>
        </w:rPr>
        <w:fldChar w:fldCharType="begin" w:fldLock="1"/>
      </w:r>
      <w:r w:rsidR="004F4E28" w:rsidRPr="004E5D63">
        <w:rPr>
          <w:rFonts w:ascii="Garamond" w:hAnsi="Garamond" w:cs="Times New Roman"/>
          <w:color w:val="242021"/>
          <w:sz w:val="24"/>
          <w:szCs w:val="24"/>
        </w:rPr>
        <w:instrText>ADDIN CSL_CITATION {"citationItems":[{"id":"ITEM-1","itemData":{"DOI":"10.1016/j.ijlp.2016.06.009","ISSN":"18736386","PMID":"27522618","abstract":"Social order, to remain stable, needs the voluntary compliance of the majority of the population. Such consent requires normative justification. The rational foundation of the rule of law and the democratic state rests on the presumption of the equality of every citizen. Male domination of females nevertheless remains universal even in the most advanced democratic nation states because it is legitimized by the shared assumption that patriarchy reflects the will of God or is dictated by nature. Freud's diagnosis of patriarchy as a collective neurosis of the group mind negates every possible normative justification that can be made for gender hierarchy. Freud made extensive references to myth in developing his analysis of the neurotic foundations of social order. An analysis of the structure of myth suggests that ideological seduction rather than God, nature or biology determines male dominance.","author":[{"dropping-particle":"","family":"Smith","given":"J. C.","non-dropping-particle":"","parse-names":false,"suffix":""},{"dropping-particle":"","family":"Weisstub","given":"David N.","non-dropping-particle":"","parse-names":false,"suffix":""}],"container-title":"International Journal of Law and Psychiatry","id":"ITEM-1","issued":{"date-parts":[["2016"]]},"page":"62-76","publisher":"Elsevier Ltd","title":"The unconscious, myth, and the rule of law: Reflections on the persistence of gender inequality","type":"article-journal","volume":"48"},"uris":["http://www.mendeley.com/documents/?uuid=b97c471e-15b6-4cf2-af70-e13aeb785be6"]}],"mendeley":{"formattedCitation":"(Smith &amp; Weisstub, 2016)","plainTextFormattedCitation":"(Smith &amp; Weisstub, 2016)","previouslyFormattedCitation":"(Smith &amp; Weisstub, 2016)"},"properties":{"noteIndex":0},"schema":"https://github.com/citation-style-language/schema/raw/master/csl-citation.json"}</w:instrText>
      </w:r>
      <w:r w:rsidR="004F4E28" w:rsidRPr="004E5D63">
        <w:rPr>
          <w:rFonts w:ascii="Garamond" w:hAnsi="Garamond" w:cs="Times New Roman"/>
          <w:color w:val="242021"/>
          <w:sz w:val="24"/>
          <w:szCs w:val="24"/>
        </w:rPr>
        <w:fldChar w:fldCharType="separate"/>
      </w:r>
      <w:r w:rsidR="004F4E28" w:rsidRPr="004E5D63">
        <w:rPr>
          <w:rFonts w:ascii="Garamond" w:hAnsi="Garamond" w:cs="Times New Roman"/>
          <w:noProof/>
          <w:color w:val="242021"/>
          <w:sz w:val="24"/>
          <w:szCs w:val="24"/>
        </w:rPr>
        <w:t>(Smith &amp; Weisstub, 2016)</w:t>
      </w:r>
      <w:r w:rsidR="004F4E28" w:rsidRPr="004E5D63">
        <w:rPr>
          <w:rFonts w:ascii="Garamond" w:hAnsi="Garamond" w:cs="Times New Roman"/>
          <w:color w:val="242021"/>
          <w:sz w:val="24"/>
          <w:szCs w:val="24"/>
        </w:rPr>
        <w:fldChar w:fldCharType="end"/>
      </w:r>
      <w:r w:rsidR="00E55837" w:rsidRPr="004E5D63">
        <w:rPr>
          <w:rFonts w:ascii="Garamond" w:hAnsi="Garamond" w:cs="Times New Roman"/>
          <w:color w:val="303192"/>
          <w:sz w:val="24"/>
          <w:szCs w:val="24"/>
        </w:rPr>
        <w:t>.</w:t>
      </w:r>
      <w:r w:rsidR="004725C0" w:rsidRPr="004E5D63">
        <w:rPr>
          <w:rFonts w:ascii="Garamond" w:hAnsi="Garamond" w:cs="Times New Roman"/>
          <w:color w:val="000000"/>
          <w:sz w:val="24"/>
          <w:szCs w:val="24"/>
        </w:rPr>
        <w:t xml:space="preserve"> women consistently reported lower power motivation than men </w:t>
      </w:r>
      <w:r w:rsidR="004F4E28" w:rsidRPr="004E5D63">
        <w:rPr>
          <w:rFonts w:ascii="Garamond" w:hAnsi="Garamond" w:cs="Times New Roman"/>
          <w:color w:val="000000"/>
          <w:sz w:val="24"/>
          <w:szCs w:val="24"/>
        </w:rPr>
        <w:fldChar w:fldCharType="begin" w:fldLock="1"/>
      </w:r>
      <w:r w:rsidR="004F4E28" w:rsidRPr="004E5D63">
        <w:rPr>
          <w:rFonts w:ascii="Garamond" w:hAnsi="Garamond" w:cs="Times New Roman"/>
          <w:color w:val="000000"/>
          <w:sz w:val="24"/>
          <w:szCs w:val="24"/>
        </w:rPr>
        <w:instrText>ADDIN CSL_CITATION {"citationItems":[{"id":"ITEM-1","itemData":{"DOI":"10.1007/s10551-013-1663-9","ISSN":"15730697","abstract":"Although the proportion of women in leadership positions has grown over the past decades, women are still underrepresented in leadership roles, which poses an ethical challenge to society at large but business in particular. Accordingly, a growing body of research has attempted to unravel the reasons for this inequality. Besides theoretical progress, a central goal of these studies is to inform measures targeted at increasing the share of women in leadership positions. Striving to contribute to these efforts and drawing on several theoretical approaches, the present study provides a contemporary examination of (a) whether women and men differ in their levels of power motivation and (b) whether potential gender differences in this motivation contribute to the unequal distribution of women and men in leadership positions. Results from four studies provide converging support for these assumptions. Specifically, we found that women consistently reported lower power motivation than men. This in turn mediated the link between gender and leadership role occupancy. These results were robust to several methodological variations including samples from different populations (i.e., student samples and large heterogeneous samples of employee), diverse operationalizations of power motivation and leadership role occupancy (self- and other ratings), and study design (cross-sectional and time-lagged designs). Implications for theory and practice, including ways to contribute to a more equal gender distribution in leadership positions, are discussed. © 2013 Springer Science+Business Media Dordrecht.","author":[{"dropping-particle":"","family":"Schuh","given":"Sebastian C.","non-dropping-particle":"","parse-names":false,"suffix":""},{"dropping-particle":"","family":"Hernandez Bark","given":"Alina S.","non-dropping-particle":"","parse-names":false,"suffix":""},{"dropping-particle":"","family":"Quaquebeke","given":"Niels","non-dropping-particle":"Van","parse-names":false,"suffix":""},{"dropping-particle":"","family":"Hossiep","given":"Rüdiger","non-dropping-particle":"","parse-names":false,"suffix":""},{"dropping-particle":"","family":"Frieg","given":"Philip","non-dropping-particle":"","parse-names":false,"suffix":""},{"dropping-particle":"","family":"Dick","given":"Rolf","non-dropping-particle":"Van","parse-names":false,"suffix":""}],"container-title":"Journal of Business Ethics","id":"ITEM-1","issue":"3","issued":{"date-parts":[["2014"]]},"page":"363-379","title":"Gender Differences in Leadership Role Occupancy: The Mediating Role of Power Motivation","type":"article-journal","volume":"120"},"uris":["http://www.mendeley.com/documents/?uuid=88729186-ca7c-4548-9cf9-d32aad7570eb"]}],"mendeley":{"formattedCitation":"(Schuh et al., 2014)","plainTextFormattedCitation":"(Schuh et al., 2014)","previouslyFormattedCitation":"(Schuh et al., 2014)"},"properties":{"noteIndex":0},"schema":"https://github.com/citation-style-language/schema/raw/master/csl-citation.json"}</w:instrText>
      </w:r>
      <w:r w:rsidR="004F4E28" w:rsidRPr="004E5D63">
        <w:rPr>
          <w:rFonts w:ascii="Garamond" w:hAnsi="Garamond" w:cs="Times New Roman"/>
          <w:color w:val="000000"/>
          <w:sz w:val="24"/>
          <w:szCs w:val="24"/>
        </w:rPr>
        <w:fldChar w:fldCharType="separate"/>
      </w:r>
      <w:r w:rsidR="004F4E28" w:rsidRPr="004E5D63">
        <w:rPr>
          <w:rFonts w:ascii="Garamond" w:hAnsi="Garamond" w:cs="Times New Roman"/>
          <w:noProof/>
          <w:color w:val="000000"/>
          <w:sz w:val="24"/>
          <w:szCs w:val="24"/>
        </w:rPr>
        <w:t>(Schuh et al., 2014)</w:t>
      </w:r>
      <w:r w:rsidR="004F4E28" w:rsidRPr="004E5D63">
        <w:rPr>
          <w:rFonts w:ascii="Garamond" w:hAnsi="Garamond" w:cs="Times New Roman"/>
          <w:color w:val="000000"/>
          <w:sz w:val="24"/>
          <w:szCs w:val="24"/>
        </w:rPr>
        <w:fldChar w:fldCharType="end"/>
      </w:r>
      <w:r w:rsidR="004F4E28" w:rsidRPr="004E5D63">
        <w:rPr>
          <w:rFonts w:ascii="Garamond" w:hAnsi="Garamond" w:cs="Times New Roman"/>
          <w:color w:val="000000"/>
          <w:sz w:val="24"/>
          <w:szCs w:val="24"/>
        </w:rPr>
        <w:t>.</w:t>
      </w:r>
      <w:r w:rsidRPr="004E5D63">
        <w:rPr>
          <w:rFonts w:ascii="Garamond" w:eastAsia="Times New Roman" w:hAnsi="Garamond" w:cs="Times New Roman"/>
          <w:color w:val="222222"/>
          <w:sz w:val="24"/>
          <w:szCs w:val="24"/>
          <w:lang w:val="en"/>
        </w:rPr>
        <w:t xml:space="preserve"> This is in line with the difficulty of </w:t>
      </w:r>
      <w:r w:rsidRPr="004E5D63">
        <w:rPr>
          <w:rFonts w:ascii="Garamond" w:eastAsia="Times New Roman" w:hAnsi="Garamond" w:cs="Times New Roman"/>
          <w:color w:val="222222"/>
          <w:sz w:val="24"/>
          <w:szCs w:val="24"/>
          <w:lang w:val="en"/>
        </w:rPr>
        <w:lastRenderedPageBreak/>
        <w:t>recognizing gender equality or the struggle for feminism, especially in the activities of the PKK women's group, because they still often glorify their husband as the dignity of the family.</w:t>
      </w:r>
    </w:p>
    <w:p w:rsidR="00171F6E" w:rsidRPr="004E5D63" w:rsidRDefault="00C0243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On the other hand, their struggle to equalize gender equality according to the battle of the initiators of feminism is decisive. The debate between local culture and their notions of feminism has caused polemic until now. Therefore this research is fundamental to find new perspectives and solutions to these problems.</w:t>
      </w:r>
    </w:p>
    <w:p w:rsidR="00171F6E" w:rsidRPr="004E5D63" w:rsidRDefault="00C0243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The combination of Language and Gender is the central concept in this study because the researcher</w:t>
      </w:r>
      <w:r w:rsidR="00B1127E">
        <w:rPr>
          <w:rFonts w:ascii="Garamond" w:eastAsia="Times New Roman" w:hAnsi="Garamond" w:cs="Times New Roman"/>
          <w:color w:val="222222"/>
          <w:sz w:val="24"/>
          <w:szCs w:val="24"/>
          <w:lang w:val="en"/>
        </w:rPr>
        <w:t>s observe</w:t>
      </w:r>
      <w:r w:rsidRPr="004E5D63">
        <w:rPr>
          <w:rFonts w:ascii="Garamond" w:eastAsia="Times New Roman" w:hAnsi="Garamond" w:cs="Times New Roman"/>
          <w:color w:val="222222"/>
          <w:sz w:val="24"/>
          <w:szCs w:val="24"/>
          <w:lang w:val="en"/>
        </w:rPr>
        <w:t xml:space="preserve"> the problem phenomenon towards recognizing gender equality in the patterns of oral tradition / spoken language that occur.</w:t>
      </w:r>
    </w:p>
    <w:p w:rsidR="007B02D1" w:rsidRPr="009826D6" w:rsidRDefault="00C02436" w:rsidP="007B02D1">
      <w:pPr>
        <w:pStyle w:val="HTMLPreformatted"/>
        <w:shd w:val="clear" w:color="auto" w:fill="F8F9FA"/>
        <w:ind w:firstLine="720"/>
        <w:jc w:val="both"/>
        <w:rPr>
          <w:rFonts w:ascii="Garamond" w:hAnsi="Garamond" w:cs="Times New Roman"/>
          <w:color w:val="222222"/>
          <w:sz w:val="24"/>
          <w:szCs w:val="24"/>
          <w:lang w:val="en"/>
        </w:rPr>
      </w:pPr>
      <w:r w:rsidRPr="004E5D63">
        <w:rPr>
          <w:rFonts w:ascii="Garamond" w:hAnsi="Garamond" w:cs="Times New Roman"/>
          <w:color w:val="222222"/>
          <w:sz w:val="24"/>
          <w:szCs w:val="24"/>
          <w:lang w:val="en"/>
        </w:rPr>
        <w:t>From the urgency of the problems mentioned above, the researcher</w:t>
      </w:r>
      <w:r w:rsidR="00E55837" w:rsidRPr="004E5D63">
        <w:rPr>
          <w:rFonts w:ascii="Garamond" w:hAnsi="Garamond" w:cs="Times New Roman"/>
          <w:color w:val="222222"/>
          <w:sz w:val="24"/>
          <w:szCs w:val="24"/>
          <w:lang w:val="en"/>
        </w:rPr>
        <w:t>s</w:t>
      </w:r>
      <w:r w:rsidRPr="004E5D63">
        <w:rPr>
          <w:rFonts w:ascii="Garamond" w:hAnsi="Garamond" w:cs="Times New Roman"/>
          <w:color w:val="222222"/>
          <w:sz w:val="24"/>
          <w:szCs w:val="24"/>
          <w:lang w:val="en"/>
        </w:rPr>
        <w:t xml:space="preserve"> </w:t>
      </w:r>
      <w:r w:rsidR="00E55837" w:rsidRPr="004E5D63">
        <w:rPr>
          <w:rFonts w:ascii="Garamond" w:hAnsi="Garamond" w:cs="Times New Roman"/>
          <w:color w:val="222222"/>
          <w:sz w:val="24"/>
          <w:szCs w:val="24"/>
          <w:lang w:val="en"/>
        </w:rPr>
        <w:t>have</w:t>
      </w:r>
      <w:r w:rsidRPr="004E5D63">
        <w:rPr>
          <w:rFonts w:ascii="Garamond" w:hAnsi="Garamond" w:cs="Times New Roman"/>
          <w:color w:val="222222"/>
          <w:sz w:val="24"/>
          <w:szCs w:val="24"/>
          <w:lang w:val="en"/>
        </w:rPr>
        <w:t xml:space="preserve"> a strong desire to find out the source of the main issue, which is formulated as follows: </w:t>
      </w:r>
      <w:r w:rsidR="007B02D1" w:rsidRPr="004E5D63">
        <w:rPr>
          <w:rFonts w:ascii="Garamond" w:hAnsi="Garamond" w:cs="Times New Roman"/>
          <w:color w:val="222222"/>
          <w:sz w:val="24"/>
          <w:szCs w:val="24"/>
          <w:lang w:val="en"/>
        </w:rPr>
        <w:t>w</w:t>
      </w:r>
      <w:r w:rsidR="007B02D1">
        <w:rPr>
          <w:rFonts w:ascii="Garamond" w:hAnsi="Garamond" w:cs="Times New Roman"/>
          <w:color w:val="222222"/>
          <w:sz w:val="24"/>
          <w:szCs w:val="24"/>
          <w:lang w:val="en"/>
        </w:rPr>
        <w:t xml:space="preserve">hat is the leading cause of the </w:t>
      </w:r>
      <w:r w:rsidR="007B02D1" w:rsidRPr="004E5D63">
        <w:rPr>
          <w:rFonts w:ascii="Garamond" w:hAnsi="Garamond" w:cs="Times New Roman"/>
          <w:color w:val="222222"/>
          <w:sz w:val="24"/>
          <w:szCs w:val="24"/>
          <w:lang w:val="en"/>
        </w:rPr>
        <w:t xml:space="preserve">confusion of choosing between local wisdom or recognition of gender equality in spoken language </w:t>
      </w:r>
      <w:r w:rsidR="007B02D1">
        <w:rPr>
          <w:rFonts w:ascii="Garamond" w:hAnsi="Garamond" w:cs="Times New Roman"/>
          <w:color w:val="222222"/>
          <w:sz w:val="24"/>
          <w:szCs w:val="24"/>
          <w:lang w:val="en"/>
        </w:rPr>
        <w:t>a</w:t>
      </w:r>
      <w:r w:rsidR="007B02D1" w:rsidRPr="009826D6">
        <w:rPr>
          <w:rFonts w:ascii="Garamond" w:hAnsi="Garamond" w:cs="Times New Roman"/>
          <w:color w:val="222222"/>
          <w:sz w:val="24"/>
          <w:szCs w:val="24"/>
          <w:lang w:val="en"/>
        </w:rPr>
        <w:t>ddressing</w:t>
      </w:r>
      <w:r w:rsidR="007B02D1">
        <w:rPr>
          <w:rFonts w:ascii="Garamond" w:hAnsi="Garamond" w:cs="Times New Roman"/>
          <w:color w:val="222222"/>
          <w:sz w:val="24"/>
          <w:szCs w:val="24"/>
          <w:lang w:val="en"/>
        </w:rPr>
        <w:t xml:space="preserve"> among w</w:t>
      </w:r>
      <w:r w:rsidR="007B02D1" w:rsidRPr="009826D6">
        <w:rPr>
          <w:rFonts w:ascii="Garamond" w:hAnsi="Garamond" w:cs="Times New Roman"/>
          <w:color w:val="222222"/>
          <w:sz w:val="24"/>
          <w:szCs w:val="24"/>
          <w:lang w:val="en"/>
        </w:rPr>
        <w:t xml:space="preserve">omen with </w:t>
      </w:r>
      <w:r w:rsidR="007B02D1">
        <w:rPr>
          <w:rFonts w:ascii="Garamond" w:hAnsi="Garamond" w:cs="Times New Roman"/>
          <w:color w:val="222222"/>
          <w:sz w:val="24"/>
          <w:szCs w:val="24"/>
          <w:lang w:val="en"/>
        </w:rPr>
        <w:t>respect to their husbands’ t</w:t>
      </w:r>
      <w:r w:rsidR="007B02D1" w:rsidRPr="009826D6">
        <w:rPr>
          <w:rFonts w:ascii="Garamond" w:hAnsi="Garamond" w:cs="Times New Roman"/>
          <w:color w:val="222222"/>
          <w:sz w:val="24"/>
          <w:szCs w:val="24"/>
          <w:lang w:val="en"/>
        </w:rPr>
        <w:t>itles in their activities?</w:t>
      </w:r>
    </w:p>
    <w:p w:rsidR="00171F6E" w:rsidRPr="004E5D63" w:rsidRDefault="00C02436" w:rsidP="007B02D1">
      <w:pPr>
        <w:pStyle w:val="HTMLPreformatted"/>
        <w:shd w:val="clear" w:color="auto" w:fill="F8F9FA"/>
        <w:ind w:firstLine="720"/>
        <w:jc w:val="both"/>
        <w:rPr>
          <w:rFonts w:ascii="Garamond" w:hAnsi="Garamond" w:cs="Times New Roman"/>
          <w:color w:val="222222"/>
          <w:sz w:val="24"/>
          <w:szCs w:val="24"/>
        </w:rPr>
      </w:pPr>
      <w:r w:rsidRPr="004E5D63">
        <w:rPr>
          <w:rFonts w:ascii="Garamond" w:hAnsi="Garamond" w:cs="Times New Roman"/>
          <w:color w:val="222222"/>
          <w:sz w:val="24"/>
          <w:szCs w:val="24"/>
          <w:lang w:val="en"/>
        </w:rPr>
        <w:t>The benefits expected from the results of this study are 1) a new perspective on problem-solving of gender recognition in regions that still honor their local wisdom, and 2) knowledge of the causes of confusion in recognizing gender equality, especially in the activities of mothers.</w:t>
      </w:r>
    </w:p>
    <w:p w:rsidR="000361BC" w:rsidRPr="004E5D63" w:rsidRDefault="000361BC" w:rsidP="00E41B6E">
      <w:pPr>
        <w:pStyle w:val="ListParagraph"/>
        <w:spacing w:line="240" w:lineRule="auto"/>
        <w:jc w:val="both"/>
        <w:rPr>
          <w:rFonts w:ascii="Garamond" w:hAnsi="Garamond" w:cs="Times New Roman"/>
          <w:b/>
          <w:sz w:val="24"/>
          <w:szCs w:val="24"/>
        </w:rPr>
      </w:pPr>
    </w:p>
    <w:p w:rsidR="005F44DF" w:rsidRPr="004E5D63" w:rsidRDefault="00C02436" w:rsidP="00E41B6E">
      <w:pPr>
        <w:pStyle w:val="ListParagraph"/>
        <w:numPr>
          <w:ilvl w:val="0"/>
          <w:numId w:val="1"/>
        </w:numPr>
        <w:spacing w:line="240" w:lineRule="auto"/>
        <w:ind w:left="720"/>
        <w:jc w:val="both"/>
        <w:rPr>
          <w:rFonts w:ascii="Garamond" w:hAnsi="Garamond" w:cs="Times New Roman"/>
          <w:b/>
          <w:sz w:val="24"/>
          <w:szCs w:val="24"/>
        </w:rPr>
      </w:pPr>
      <w:r w:rsidRPr="004E5D63">
        <w:rPr>
          <w:rFonts w:ascii="Garamond" w:hAnsi="Garamond" w:cs="Times New Roman"/>
          <w:b/>
          <w:sz w:val="24"/>
          <w:szCs w:val="24"/>
        </w:rPr>
        <w:t>Literature Review</w:t>
      </w:r>
    </w:p>
    <w:p w:rsidR="00806362" w:rsidRPr="002E7CA4" w:rsidRDefault="00C02436" w:rsidP="002E7CA4">
      <w:pPr>
        <w:spacing w:line="240" w:lineRule="auto"/>
        <w:ind w:firstLine="720"/>
        <w:jc w:val="both"/>
        <w:rPr>
          <w:rFonts w:ascii="Garamond" w:hAnsi="Garamond" w:cs="Times New Roman"/>
          <w:color w:val="000000"/>
          <w:sz w:val="24"/>
          <w:szCs w:val="24"/>
        </w:rPr>
      </w:pPr>
      <w:r w:rsidRPr="002E7CA4">
        <w:rPr>
          <w:rFonts w:ascii="Garamond" w:hAnsi="Garamond" w:cs="Times New Roman"/>
          <w:sz w:val="24"/>
          <w:szCs w:val="24"/>
        </w:rPr>
        <w:t xml:space="preserve">Local wisdom belief is all that is stereotypical of the zone, whether it be food, traditions, dances, songs, or rituals. </w:t>
      </w:r>
      <w:r w:rsidRPr="002E7CA4">
        <w:rPr>
          <w:rFonts w:ascii="Garamond" w:eastAsia="Times New Roman" w:hAnsi="Garamond" w:cs="Times New Roman"/>
          <w:color w:val="000000"/>
          <w:sz w:val="24"/>
          <w:szCs w:val="24"/>
        </w:rPr>
        <w:fldChar w:fldCharType="begin" w:fldLock="1"/>
      </w:r>
      <w:r w:rsidRPr="002E7CA4">
        <w:rPr>
          <w:rFonts w:ascii="Garamond" w:eastAsia="Times New Roman" w:hAnsi="Garamond" w:cs="Times New Roman"/>
          <w:color w:val="000000"/>
          <w:sz w:val="24"/>
          <w:szCs w:val="24"/>
        </w:rPr>
        <w:instrText>ADDIN CSL_CITATION {"citationItems":[{"id":"ITEM-1","itemData":{"ISBN":"9786026065537","author":[{"dropping-particle":"","family":"Yustesia","given":"Arisius","non-dropping-particle":"","parse-names":false,"suffix":""}],"id":"ITEM-1","issue":"May 2017","issued":{"date-parts":[["2018"]]},"title":"Concept of Local Wisdom \" Barifola \" and Implementation of Education Century 21","type":"article-journal"},"uris":["http://www.mendeley.com/documents/?uuid=17419ba2-fe6f-4156-9905-086b7111c3fd"]}],"mendeley":{"formattedCitation":"(Yustesia, 2018)","plainTextFormattedCitation":"(Yustesia, 2018)","previouslyFormattedCitation":"(Yustesia, 2018)"},"properties":{"noteIndex":0},"schema":"https://github.com/citation-style-language/schema/raw/master/csl-citation.json"}</w:instrText>
      </w:r>
      <w:r w:rsidRPr="002E7CA4">
        <w:rPr>
          <w:rFonts w:ascii="Garamond" w:eastAsia="Times New Roman" w:hAnsi="Garamond" w:cs="Times New Roman"/>
          <w:color w:val="000000"/>
          <w:sz w:val="24"/>
          <w:szCs w:val="24"/>
        </w:rPr>
        <w:fldChar w:fldCharType="separate"/>
      </w:r>
      <w:proofErr w:type="gramStart"/>
      <w:r w:rsidRPr="002E7CA4">
        <w:rPr>
          <w:rFonts w:ascii="Garamond" w:eastAsia="Times New Roman" w:hAnsi="Garamond" w:cs="Times New Roman"/>
          <w:noProof/>
          <w:color w:val="000000"/>
          <w:sz w:val="24"/>
          <w:szCs w:val="24"/>
        </w:rPr>
        <w:t>(Yustesia, 2018)</w:t>
      </w:r>
      <w:r w:rsidRPr="002E7CA4">
        <w:rPr>
          <w:rFonts w:ascii="Garamond" w:eastAsia="Times New Roman" w:hAnsi="Garamond" w:cs="Times New Roman"/>
          <w:color w:val="000000"/>
          <w:sz w:val="24"/>
          <w:szCs w:val="24"/>
        </w:rPr>
        <w:fldChar w:fldCharType="end"/>
      </w:r>
      <w:r w:rsidRPr="002E7CA4">
        <w:rPr>
          <w:rFonts w:ascii="Garamond" w:eastAsia="Times New Roman" w:hAnsi="Garamond" w:cs="Times New Roman"/>
          <w:color w:val="000000"/>
          <w:sz w:val="24"/>
          <w:szCs w:val="24"/>
        </w:rPr>
        <w:t>.</w:t>
      </w:r>
      <w:proofErr w:type="gramEnd"/>
      <w:r w:rsidRPr="002E7CA4">
        <w:rPr>
          <w:rFonts w:ascii="Garamond" w:hAnsi="Garamond" w:cs="Times New Roman"/>
          <w:sz w:val="24"/>
          <w:szCs w:val="24"/>
        </w:rPr>
        <w:t xml:space="preserve"> </w:t>
      </w:r>
      <w:r w:rsidR="00C44597" w:rsidRPr="002E7CA4">
        <w:rPr>
          <w:rFonts w:ascii="Garamond" w:hAnsi="Garamond" w:cs="Times New Roman"/>
          <w:color w:val="000000"/>
          <w:sz w:val="24"/>
          <w:szCs w:val="24"/>
        </w:rPr>
        <w:t xml:space="preserve">Culture is an essential halide of the reference point, as it keeps meanings mysterious from multiple elements of the humanoid universe. Now, the classic interpretation of community is </w:t>
      </w:r>
      <w:r w:rsidR="002E7417" w:rsidRPr="002E7CA4">
        <w:rPr>
          <w:rFonts w:ascii="Garamond" w:hAnsi="Garamond" w:cs="Times New Roman"/>
          <w:color w:val="000000"/>
          <w:sz w:val="24"/>
          <w:szCs w:val="24"/>
        </w:rPr>
        <w:t xml:space="preserve">“ . . . </w:t>
      </w:r>
      <w:r w:rsidR="00C44597" w:rsidRPr="002E7CA4">
        <w:rPr>
          <w:rFonts w:ascii="Garamond" w:hAnsi="Garamond" w:cs="Times New Roman"/>
          <w:color w:val="000000"/>
          <w:sz w:val="24"/>
          <w:szCs w:val="24"/>
        </w:rPr>
        <w:t>A historically expressed sequence of purposes articulated in images, a set of conventional conceptions embodied in visual images through which men associate, sustain, and cultivate their knowledge and attitude concerning activity. "It is fundamentally attached to the ideals, ideologies, modes of thought, a distance of nature, and viewpoints accepted by the members of the lodge at every recognized sign, according to leading paleontologists</w:t>
      </w:r>
      <w:r w:rsidR="00AF55F6" w:rsidRPr="002E7CA4">
        <w:rPr>
          <w:rFonts w:ascii="Garamond" w:hAnsi="Garamond" w:cs="Times New Roman"/>
          <w:color w:val="000000"/>
          <w:sz w:val="24"/>
          <w:szCs w:val="24"/>
        </w:rPr>
        <w:t xml:space="preserve"> </w:t>
      </w:r>
      <w:r w:rsidR="004F4E28" w:rsidRPr="002E7CA4">
        <w:rPr>
          <w:rFonts w:ascii="Garamond" w:hAnsi="Garamond" w:cs="Times New Roman"/>
          <w:color w:val="000000"/>
          <w:sz w:val="24"/>
          <w:szCs w:val="24"/>
        </w:rPr>
        <w:fldChar w:fldCharType="begin" w:fldLock="1"/>
      </w:r>
      <w:r w:rsidR="004F4E28" w:rsidRPr="002E7CA4">
        <w:rPr>
          <w:rFonts w:ascii="Garamond" w:hAnsi="Garamond" w:cs="Times New Roman"/>
          <w:color w:val="000000"/>
          <w:sz w:val="24"/>
          <w:szCs w:val="24"/>
        </w:rPr>
        <w:instrText>ADDIN CSL_CITATION {"citationItems":[{"id":"ITEM-1","itemData":{"DOI":"10.1086/452273","ISSN":"00130079","author":[{"dropping-particle":"","family":"Buvinić","given":"Mayra","non-dropping-particle":"","parse-names":false,"suffix":""},{"dropping-particle":"","family":"Rao Gupta","given":"Geeta","non-dropping-particle":"","parse-names":false,"suffix":""}],"container-title":"Economic Development and Cultural Change","id":"ITEM-1","issue":"2","issued":{"date-parts":[["1997"]]},"page":"258-280","title":"Female-headed households and female-maintained families: Are they worth targeting to reduce poverty in developing countries?","type":"article-journal","volume":"45"},"uris":["http://www.mendeley.com/documents/?uuid=cd6d614e-06f9-43a4-83ac-ee680b4b9279"]}],"mendeley":{"formattedCitation":"(Buvinić &amp; Rao Gupta, 1997)","plainTextFormattedCitation":"(Buvinić &amp; Rao Gupta, 1997)","previouslyFormattedCitation":"(Buvinić &amp; Rao Gupta, 1997)"},"properties":{"noteIndex":0},"schema":"https://github.com/citation-style-language/schema/raw/master/csl-citation.json"}</w:instrText>
      </w:r>
      <w:r w:rsidR="004F4E28" w:rsidRPr="002E7CA4">
        <w:rPr>
          <w:rFonts w:ascii="Garamond" w:hAnsi="Garamond" w:cs="Times New Roman"/>
          <w:color w:val="000000"/>
          <w:sz w:val="24"/>
          <w:szCs w:val="24"/>
        </w:rPr>
        <w:fldChar w:fldCharType="separate"/>
      </w:r>
      <w:r w:rsidR="004F4E28" w:rsidRPr="002E7CA4">
        <w:rPr>
          <w:rFonts w:ascii="Garamond" w:hAnsi="Garamond" w:cs="Times New Roman"/>
          <w:noProof/>
          <w:color w:val="000000"/>
          <w:sz w:val="24"/>
          <w:szCs w:val="24"/>
        </w:rPr>
        <w:t>(Buvinić &amp; Rao Gupta, 1997)</w:t>
      </w:r>
      <w:r w:rsidR="004F4E28" w:rsidRPr="002E7CA4">
        <w:rPr>
          <w:rFonts w:ascii="Garamond" w:hAnsi="Garamond" w:cs="Times New Roman"/>
          <w:color w:val="000000"/>
          <w:sz w:val="24"/>
          <w:szCs w:val="24"/>
        </w:rPr>
        <w:fldChar w:fldCharType="end"/>
      </w:r>
      <w:r w:rsidR="002E7417" w:rsidRPr="002E7CA4">
        <w:rPr>
          <w:rFonts w:ascii="Garamond" w:hAnsi="Garamond" w:cs="Times New Roman"/>
          <w:color w:val="000000"/>
          <w:sz w:val="24"/>
          <w:szCs w:val="24"/>
        </w:rPr>
        <w:t>.</w:t>
      </w:r>
      <w:r w:rsidR="00DA1BE5" w:rsidRPr="002E7CA4">
        <w:rPr>
          <w:rFonts w:ascii="Garamond" w:hAnsi="Garamond" w:cs="Times New Roman"/>
          <w:color w:val="000000"/>
          <w:sz w:val="24"/>
          <w:szCs w:val="24"/>
        </w:rPr>
        <w:t xml:space="preserve"> </w:t>
      </w:r>
      <w:r w:rsidR="0094122D" w:rsidRPr="002E7CA4">
        <w:rPr>
          <w:rFonts w:ascii="Garamond" w:hAnsi="Garamond" w:cs="Times New Roman"/>
          <w:color w:val="000000"/>
          <w:sz w:val="24"/>
          <w:szCs w:val="24"/>
        </w:rPr>
        <w:t xml:space="preserve">Culture is a system of human-made corroborative and arbitrary features, in those as mentioned above, intensified the attribute of amusement and culminated in the fulfillment of the respondents in the biology position. Thus it became shared with those who were capable of interacting together because they had relational contact and existed at the same moment and at the same time. </w:t>
      </w:r>
      <w:r w:rsidR="004F4E28" w:rsidRPr="002E7CA4">
        <w:rPr>
          <w:rFonts w:ascii="Garamond" w:hAnsi="Garamond" w:cs="Times New Roman"/>
          <w:color w:val="000000"/>
          <w:sz w:val="24"/>
          <w:szCs w:val="24"/>
        </w:rPr>
        <w:fldChar w:fldCharType="begin" w:fldLock="1"/>
      </w:r>
      <w:r w:rsidR="004F4E28" w:rsidRPr="002E7CA4">
        <w:rPr>
          <w:rFonts w:ascii="Garamond" w:hAnsi="Garamond" w:cs="Times New Roman"/>
          <w:color w:val="000000"/>
          <w:sz w:val="24"/>
          <w:szCs w:val="24"/>
        </w:rPr>
        <w:instrText>ADDIN CSL_CITATION {"citationItems":[{"id":"ITEM-1","itemData":{"author":[{"dropping-particle":"","family":"Samovar, L. A., Porter, R. E., McDaniel, E. R., &amp; Roy","given":"C. S","non-dropping-particle":"","parse-names":false,"suffix":""}],"id":"ITEM-1","issued":{"date-parts":[["2013"]]},"publisher-place":"Boston","title":"Communication between cultures.","type":"report"},"uris":["http://www.mendeley.com/documents/?uuid=0d6115f2-f675-43f7-8ce8-78cbc8af6750"]}],"mendeley":{"formattedCitation":"(Samovar, L. A., Porter, R. E., McDaniel, E. R., &amp; Roy, 2013)","plainTextFormattedCitation":"(Samovar, L. A., Porter, R. E., McDaniel, E. R., &amp; Roy, 2013)","previouslyFormattedCitation":"(Samovar, L. A., Porter, R. E., McDaniel, E. R., &amp; Roy, 2013)"},"properties":{"noteIndex":0},"schema":"https://github.com/citation-style-language/schema/raw/master/csl-citation.json"}</w:instrText>
      </w:r>
      <w:r w:rsidR="004F4E28" w:rsidRPr="002E7CA4">
        <w:rPr>
          <w:rFonts w:ascii="Garamond" w:hAnsi="Garamond" w:cs="Times New Roman"/>
          <w:color w:val="000000"/>
          <w:sz w:val="24"/>
          <w:szCs w:val="24"/>
        </w:rPr>
        <w:fldChar w:fldCharType="separate"/>
      </w:r>
      <w:proofErr w:type="gramStart"/>
      <w:r w:rsidR="004F4E28" w:rsidRPr="002E7CA4">
        <w:rPr>
          <w:rFonts w:ascii="Garamond" w:hAnsi="Garamond" w:cs="Times New Roman"/>
          <w:noProof/>
          <w:color w:val="000000"/>
          <w:sz w:val="24"/>
          <w:szCs w:val="24"/>
        </w:rPr>
        <w:t>(Samovar, L. A., Porter, R. E., McDaniel, E. R., &amp; Roy, 2013)</w:t>
      </w:r>
      <w:r w:rsidR="004F4E28" w:rsidRPr="002E7CA4">
        <w:rPr>
          <w:rFonts w:ascii="Garamond" w:hAnsi="Garamond" w:cs="Times New Roman"/>
          <w:color w:val="000000"/>
          <w:sz w:val="24"/>
          <w:szCs w:val="24"/>
        </w:rPr>
        <w:fldChar w:fldCharType="end"/>
      </w:r>
      <w:r w:rsidR="00DA1BE5" w:rsidRPr="002E7CA4">
        <w:rPr>
          <w:rFonts w:ascii="Garamond" w:hAnsi="Garamond" w:cs="Times New Roman"/>
          <w:color w:val="000000"/>
          <w:sz w:val="24"/>
          <w:szCs w:val="24"/>
        </w:rPr>
        <w:t>.</w:t>
      </w:r>
      <w:proofErr w:type="gramEnd"/>
      <w:r w:rsidR="00DA1BE5" w:rsidRPr="002E7CA4">
        <w:rPr>
          <w:rFonts w:ascii="Garamond" w:hAnsi="Garamond" w:cs="Times New Roman"/>
          <w:sz w:val="24"/>
          <w:szCs w:val="24"/>
        </w:rPr>
        <w:t xml:space="preserve"> </w:t>
      </w:r>
      <w:r w:rsidR="0094122D" w:rsidRPr="002E7CA4">
        <w:rPr>
          <w:rFonts w:ascii="Garamond" w:hAnsi="Garamond" w:cs="Times New Roman"/>
          <w:color w:val="000000"/>
          <w:sz w:val="24"/>
          <w:szCs w:val="24"/>
        </w:rPr>
        <w:t>Since culture is the center of localized beliefs, which is described as a collection of parental convictions by any concrete classification of entities established in constituent locations, it seems central to what people are in love and esteem. Local reasonableness, in other terms, is an institution and a product of a broader group.</w:t>
      </w:r>
    </w:p>
    <w:p w:rsidR="00806362" w:rsidRPr="002E7CA4" w:rsidRDefault="00E85305" w:rsidP="002E7CA4">
      <w:pPr>
        <w:spacing w:line="240" w:lineRule="auto"/>
        <w:ind w:firstLine="720"/>
        <w:jc w:val="both"/>
        <w:rPr>
          <w:rFonts w:ascii="Garamond" w:hAnsi="Garamond" w:cs="Times New Roman"/>
          <w:color w:val="000000"/>
          <w:sz w:val="24"/>
          <w:szCs w:val="24"/>
        </w:rPr>
      </w:pPr>
      <w:r>
        <w:rPr>
          <w:rFonts w:ascii="Garamond" w:hAnsi="Garamond" w:cs="Times New Roman"/>
          <w:color w:val="000000"/>
          <w:sz w:val="24"/>
          <w:szCs w:val="24"/>
        </w:rPr>
        <w:t>Local</w:t>
      </w:r>
      <w:r w:rsidR="0094122D" w:rsidRPr="002E7CA4">
        <w:rPr>
          <w:rFonts w:ascii="Garamond" w:hAnsi="Garamond" w:cs="Times New Roman"/>
          <w:color w:val="000000"/>
          <w:sz w:val="24"/>
          <w:szCs w:val="24"/>
        </w:rPr>
        <w:t xml:space="preserve"> wisdom is well characterized as local thoughts inculcated with proprietary wizens considered systematic, literally exalting</w:t>
      </w:r>
      <w:r w:rsidR="00AF55F6" w:rsidRPr="002E7CA4">
        <w:rPr>
          <w:rFonts w:ascii="Garamond" w:hAnsi="Garamond" w:cs="Times New Roman"/>
          <w:color w:val="000000"/>
          <w:sz w:val="24"/>
          <w:szCs w:val="24"/>
        </w:rPr>
        <w:t xml:space="preserve">. </w:t>
      </w:r>
      <w:r w:rsidR="0094122D" w:rsidRPr="002E7CA4">
        <w:rPr>
          <w:rFonts w:ascii="Garamond" w:hAnsi="Garamond" w:cs="Times New Roman"/>
          <w:color w:val="000000"/>
          <w:sz w:val="24"/>
          <w:szCs w:val="24"/>
        </w:rPr>
        <w:t xml:space="preserve">The measurable behaviors of the members of the gold component have been embodied and enforced. </w:t>
      </w:r>
      <w:r w:rsidR="00866B65">
        <w:rPr>
          <w:rFonts w:ascii="Garamond" w:hAnsi="Garamond" w:cs="Times New Roman"/>
          <w:color w:val="000000"/>
          <w:sz w:val="24"/>
          <w:szCs w:val="24"/>
        </w:rPr>
        <w:t>Local</w:t>
      </w:r>
      <w:r w:rsidR="00866B65" w:rsidRPr="002E7CA4">
        <w:rPr>
          <w:rFonts w:ascii="Garamond" w:hAnsi="Garamond" w:cs="Times New Roman"/>
          <w:color w:val="000000"/>
          <w:sz w:val="24"/>
          <w:szCs w:val="24"/>
        </w:rPr>
        <w:t xml:space="preserve"> wisdom </w:t>
      </w:r>
      <w:r w:rsidR="0094122D" w:rsidRPr="002E7CA4">
        <w:rPr>
          <w:rFonts w:ascii="Garamond" w:hAnsi="Garamond" w:cs="Times New Roman"/>
          <w:color w:val="000000"/>
          <w:sz w:val="24"/>
          <w:szCs w:val="24"/>
        </w:rPr>
        <w:t xml:space="preserve">is a whole thing of ethnic capacity. </w:t>
      </w:r>
      <w:r w:rsidR="00866B65">
        <w:rPr>
          <w:rFonts w:ascii="Garamond" w:hAnsi="Garamond" w:cs="Times New Roman"/>
          <w:color w:val="000000"/>
          <w:sz w:val="24"/>
          <w:szCs w:val="24"/>
        </w:rPr>
        <w:t>it</w:t>
      </w:r>
      <w:r w:rsidR="0094122D" w:rsidRPr="002E7CA4">
        <w:rPr>
          <w:rFonts w:ascii="Garamond" w:hAnsi="Garamond" w:cs="Times New Roman"/>
          <w:color w:val="000000"/>
          <w:sz w:val="24"/>
          <w:szCs w:val="24"/>
        </w:rPr>
        <w:t xml:space="preserve"> is a living principle rooted in the gilded belly, embodied in the ways of a useful text, a form of recounting, of rites and of imposing.</w:t>
      </w:r>
      <w:r w:rsidR="004F4E28" w:rsidRPr="002E7CA4">
        <w:rPr>
          <w:rFonts w:ascii="Garamond" w:hAnsi="Garamond" w:cs="Times New Roman"/>
          <w:color w:val="000000"/>
          <w:sz w:val="24"/>
          <w:szCs w:val="24"/>
        </w:rPr>
        <w:fldChar w:fldCharType="begin" w:fldLock="1"/>
      </w:r>
      <w:r w:rsidR="00D30CE2">
        <w:rPr>
          <w:rFonts w:ascii="Garamond" w:hAnsi="Garamond" w:cs="Times New Roman"/>
          <w:color w:val="000000"/>
          <w:sz w:val="24"/>
          <w:szCs w:val="24"/>
        </w:rPr>
        <w:instrText>ADDIN CSL_CITATION {"citationItems":[{"id":"ITEM-1","itemData":{"author":[{"dropping-particle":"","family":"Riyanto, A., Ohoitimur, J., Mulyatno, C. B., &amp; Madung","given":"O. G","non-dropping-particle":"","parse-names":false,"suffix":""}],"id":"ITEM-1","issued":{"date-parts":[["2015"]]},"publisher":"Kanisius","publisher-place":"Yogyakarta","title":"Kearifan Lokal Pancasila Butir-butir Filsafat Keindonesiaan.","type":"book"},"uris":["http://www.mendeley.com/documents/?uuid=758f8aff-52c0-4c54-b7a1-60cd99f1f7b2"]}],"mendeley":{"formattedCitation":"(Riyanto, A., Ohoitimur, J., Mulyatno, C. B., &amp; Madung, 2015)","manualFormatting":" (Riyanto, A., Ohoitimur, J., Mulyatno, C. B., &amp; Madung, 2015)","plainTextFormattedCitation":"(Riyanto, A., Ohoitimur, J., Mulyatno, C. B., &amp; Madung, 2015)","previouslyFormattedCitation":"(Riyanto, A., Ohoitimur, J., Mulyatno, C. B., &amp; Madung, 2015)"},"properties":{"noteIndex":0},"schema":"https://github.com/citation-style-language/schema/raw/master/csl-citation.json"}</w:instrText>
      </w:r>
      <w:r w:rsidR="004F4E28" w:rsidRPr="002E7CA4">
        <w:rPr>
          <w:rFonts w:ascii="Garamond" w:hAnsi="Garamond" w:cs="Times New Roman"/>
          <w:color w:val="000000"/>
          <w:sz w:val="24"/>
          <w:szCs w:val="24"/>
        </w:rPr>
        <w:fldChar w:fldCharType="separate"/>
      </w:r>
      <w:r w:rsidR="004F4E28" w:rsidRPr="002E7CA4">
        <w:rPr>
          <w:rFonts w:ascii="Garamond" w:hAnsi="Garamond" w:cs="Times New Roman"/>
          <w:noProof/>
          <w:color w:val="000000"/>
          <w:sz w:val="24"/>
          <w:szCs w:val="24"/>
        </w:rPr>
        <w:t xml:space="preserve"> </w:t>
      </w:r>
      <w:proofErr w:type="gramStart"/>
      <w:r w:rsidR="004F4E28" w:rsidRPr="002E7CA4">
        <w:rPr>
          <w:rFonts w:ascii="Garamond" w:hAnsi="Garamond" w:cs="Times New Roman"/>
          <w:noProof/>
          <w:color w:val="000000"/>
          <w:sz w:val="24"/>
          <w:szCs w:val="24"/>
        </w:rPr>
        <w:t>(Riyanto, A., Ohoitimur, J., Mulyatno, C. B., &amp; Madung, 2015)</w:t>
      </w:r>
      <w:r w:rsidR="004F4E28" w:rsidRPr="002E7CA4">
        <w:rPr>
          <w:rFonts w:ascii="Garamond" w:hAnsi="Garamond" w:cs="Times New Roman"/>
          <w:color w:val="000000"/>
          <w:sz w:val="24"/>
          <w:szCs w:val="24"/>
        </w:rPr>
        <w:fldChar w:fldCharType="end"/>
      </w:r>
      <w:r w:rsidR="003D3419" w:rsidRPr="002E7CA4">
        <w:rPr>
          <w:rFonts w:ascii="Garamond" w:hAnsi="Garamond" w:cs="Times New Roman"/>
          <w:color w:val="000000"/>
          <w:sz w:val="24"/>
          <w:szCs w:val="24"/>
        </w:rPr>
        <w:t>.</w:t>
      </w:r>
      <w:proofErr w:type="gramEnd"/>
      <w:r w:rsidR="003D3419" w:rsidRPr="002E7CA4">
        <w:rPr>
          <w:rFonts w:ascii="Garamond" w:hAnsi="Garamond" w:cs="Times New Roman"/>
          <w:sz w:val="24"/>
          <w:szCs w:val="24"/>
        </w:rPr>
        <w:t xml:space="preserve"> </w:t>
      </w:r>
      <w:r w:rsidR="0094122D" w:rsidRPr="002E7CA4">
        <w:rPr>
          <w:rFonts w:ascii="Garamond" w:hAnsi="Garamond" w:cs="Times New Roman"/>
          <w:color w:val="000000"/>
          <w:sz w:val="24"/>
          <w:szCs w:val="24"/>
        </w:rPr>
        <w:t>The interaction between culture and communication is seen as reciprocal rather than causal, where culture can affect connectivity but is also established and implemented through connectivity. Having conversations is also seen as a shaped script that acts as a collective, unifying component.</w:t>
      </w:r>
      <w:r w:rsidR="004F4E28" w:rsidRPr="002E7CA4">
        <w:rPr>
          <w:rFonts w:ascii="Garamond" w:hAnsi="Garamond" w:cs="Times New Roman"/>
          <w:color w:val="000000"/>
          <w:sz w:val="24"/>
          <w:szCs w:val="24"/>
        </w:rPr>
        <w:fldChar w:fldCharType="begin" w:fldLock="1"/>
      </w:r>
      <w:r w:rsidR="00D30CE2">
        <w:rPr>
          <w:rFonts w:ascii="Garamond" w:hAnsi="Garamond" w:cs="Times New Roman"/>
          <w:color w:val="000000"/>
          <w:sz w:val="24"/>
          <w:szCs w:val="24"/>
        </w:rPr>
        <w:instrText>ADDIN CSL_CITATION {"citationItems":[{"id":"ITEM-1","itemData":{"author":[{"dropping-particle":"","family":"Martin, J. N., &amp; Nakayama","given":"T. K","non-dropping-particle":"","parse-names":false,"suffix":""}],"edition":"5th","id":"ITEM-1","issued":{"date-parts":[["2010"]]},"publisher":"McGraw-Hill","publisher-place":"Boston","title":"Intercultural communication in contexts (5th ed.).","type":"book"},"uris":["http://www.mendeley.com/documents/?uuid=cb4d33a0-e6a7-4133-a0e6-8719af4b4f06"]}],"mendeley":{"formattedCitation":"(Martin, J. N., &amp; Nakayama, 2010)","manualFormatting":" (Martin, J. N., &amp; Nakayama, 2010)","plainTextFormattedCitation":"(Martin, J. N., &amp; Nakayama, 2010)","previouslyFormattedCitation":"(Martin, J. N., &amp; Nakayama, 2010)"},"properties":{"noteIndex":0},"schema":"https://github.com/citation-style-language/schema/raw/master/csl-citation.json"}</w:instrText>
      </w:r>
      <w:r w:rsidR="004F4E28" w:rsidRPr="002E7CA4">
        <w:rPr>
          <w:rFonts w:ascii="Garamond" w:hAnsi="Garamond" w:cs="Times New Roman"/>
          <w:color w:val="000000"/>
          <w:sz w:val="24"/>
          <w:szCs w:val="24"/>
        </w:rPr>
        <w:fldChar w:fldCharType="separate"/>
      </w:r>
      <w:r w:rsidR="004F4E28" w:rsidRPr="002E7CA4">
        <w:rPr>
          <w:rFonts w:ascii="Garamond" w:hAnsi="Garamond" w:cs="Times New Roman"/>
          <w:noProof/>
          <w:color w:val="000000"/>
          <w:sz w:val="24"/>
          <w:szCs w:val="24"/>
        </w:rPr>
        <w:t xml:space="preserve"> (Martin, J. N., &amp; Nakayama, 2010)</w:t>
      </w:r>
      <w:r w:rsidR="004F4E28" w:rsidRPr="002E7CA4">
        <w:rPr>
          <w:rFonts w:ascii="Garamond" w:hAnsi="Garamond" w:cs="Times New Roman"/>
          <w:color w:val="000000"/>
          <w:sz w:val="24"/>
          <w:szCs w:val="24"/>
        </w:rPr>
        <w:fldChar w:fldCharType="end"/>
      </w:r>
      <w:r w:rsidR="003D3419" w:rsidRPr="002E7CA4">
        <w:rPr>
          <w:rFonts w:ascii="Garamond" w:hAnsi="Garamond" w:cs="Times New Roman"/>
          <w:sz w:val="24"/>
          <w:szCs w:val="24"/>
        </w:rPr>
        <w:t xml:space="preserve"> </w:t>
      </w:r>
    </w:p>
    <w:p w:rsidR="00202252" w:rsidRPr="004E5D63" w:rsidRDefault="00C02436" w:rsidP="004E5D63">
      <w:pPr>
        <w:spacing w:line="240" w:lineRule="auto"/>
        <w:ind w:firstLine="720"/>
        <w:jc w:val="both"/>
        <w:rPr>
          <w:rFonts w:ascii="Garamond" w:hAnsi="Garamond" w:cs="Times New Roman"/>
          <w:color w:val="000000"/>
          <w:sz w:val="24"/>
          <w:szCs w:val="24"/>
        </w:rPr>
      </w:pPr>
      <w:r w:rsidRPr="0094122D">
        <w:rPr>
          <w:rFonts w:ascii="Garamond" w:hAnsi="Garamond" w:cs="Times New Roman"/>
          <w:color w:val="000000"/>
          <w:sz w:val="24"/>
          <w:szCs w:val="24"/>
        </w:rPr>
        <w:lastRenderedPageBreak/>
        <w:t>The conception of sexual preference changed again with the 'mainstreaming' line that followed the Beijing Women's Debate in 1995 and the ratification of the Agreement by Sweden and Finland in 1996. Mainstreaming is associated with the fact that policies on sexual equivalence do not present a participant as home-bound to a near 'ghetto' opportunity, but rather an integrated cross-sectional framework to all policy-making comics.</w:t>
      </w:r>
      <w:r w:rsidR="00397ED6" w:rsidRPr="00397ED6">
        <w:rPr>
          <w:rFonts w:ascii="Garamond" w:hAnsi="Garamond" w:cs="Times New Roman"/>
          <w:color w:val="000000"/>
          <w:sz w:val="24"/>
          <w:szCs w:val="24"/>
        </w:rPr>
        <w:t xml:space="preserve"> mainstreaming has the voltage to tactfulness disadvantage (the aim of same-treatment policies) without denying conflict </w:t>
      </w:r>
      <w:r w:rsidR="004F4E28" w:rsidRPr="004E5D63">
        <w:rPr>
          <w:rFonts w:ascii="Garamond" w:hAnsi="Garamond" w:cs="Times New Roman"/>
          <w:color w:val="000000"/>
          <w:sz w:val="24"/>
          <w:szCs w:val="24"/>
        </w:rPr>
        <w:fldChar w:fldCharType="begin" w:fldLock="1"/>
      </w:r>
      <w:r w:rsidR="004F4E28" w:rsidRPr="004E5D63">
        <w:rPr>
          <w:rFonts w:ascii="Garamond" w:hAnsi="Garamond" w:cs="Times New Roman"/>
          <w:color w:val="000000"/>
          <w:sz w:val="24"/>
          <w:szCs w:val="24"/>
        </w:rPr>
        <w:instrText>ADDIN CSL_CITATION {"citationItems":[{"id":"ITEM-1","itemData":{"author":[{"dropping-particle":"","family":"Rees","given":"T.","non-dropping-particle":"","parse-names":false,"suffix":""}],"id":"ITEM-1","issued":{"date-parts":[["1998"]]},"publisher":"Routledge","publisher-place":"London","title":"Mainstreaming Equality in the European Union: Education, Training and Labour Market Policiese","type":"book"},"uris":["http://www.mendeley.com/documents/?uuid=aba83393-faa2-4252-aae1-44fe19df1745"]}],"mendeley":{"formattedCitation":"(Rees, 1998)","plainTextFormattedCitation":"(Rees, 1998)","previouslyFormattedCitation":"(Rees, 1998)"},"properties":{"noteIndex":0},"schema":"https://github.com/citation-style-language/schema/raw/master/csl-citation.json"}</w:instrText>
      </w:r>
      <w:r w:rsidR="004F4E28" w:rsidRPr="004E5D63">
        <w:rPr>
          <w:rFonts w:ascii="Garamond" w:hAnsi="Garamond" w:cs="Times New Roman"/>
          <w:color w:val="000000"/>
          <w:sz w:val="24"/>
          <w:szCs w:val="24"/>
        </w:rPr>
        <w:fldChar w:fldCharType="separate"/>
      </w:r>
      <w:r w:rsidR="004F4E28" w:rsidRPr="004E5D63">
        <w:rPr>
          <w:rFonts w:ascii="Garamond" w:hAnsi="Garamond" w:cs="Times New Roman"/>
          <w:noProof/>
          <w:color w:val="000000"/>
          <w:sz w:val="24"/>
          <w:szCs w:val="24"/>
        </w:rPr>
        <w:t>(Rees, 1998)</w:t>
      </w:r>
      <w:r w:rsidR="004F4E28"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 xml:space="preserve">. </w:t>
      </w:r>
      <w:r w:rsidRPr="0094122D">
        <w:rPr>
          <w:rFonts w:ascii="Garamond" w:hAnsi="Garamond" w:cs="Times New Roman"/>
          <w:color w:val="000000"/>
          <w:sz w:val="24"/>
          <w:szCs w:val="24"/>
        </w:rPr>
        <w:t>Growing acceptance could prove to be 'revolutionary' and a difference in the organization of sexuality. It is designed to ensure that the consistency against which equivalence is rhythmic is itself subject to sexual discrimination.</w:t>
      </w:r>
      <w:r w:rsidR="00397ED6" w:rsidRPr="00397ED6">
        <w:rPr>
          <w:rFonts w:ascii="Garamond" w:hAnsi="Garamond" w:cs="Times New Roman"/>
          <w:color w:val="000000"/>
          <w:sz w:val="24"/>
          <w:szCs w:val="24"/>
        </w:rPr>
        <w:t xml:space="preserve"> </w:t>
      </w:r>
      <w:r w:rsidR="004F4E28" w:rsidRPr="004E5D63">
        <w:rPr>
          <w:rFonts w:ascii="Garamond" w:hAnsi="Garamond" w:cs="Times New Roman"/>
          <w:color w:val="000000"/>
          <w:sz w:val="24"/>
          <w:szCs w:val="24"/>
        </w:rPr>
        <w:fldChar w:fldCharType="begin" w:fldLock="1"/>
      </w:r>
      <w:r w:rsidR="004F4E28" w:rsidRPr="004E5D63">
        <w:rPr>
          <w:rFonts w:ascii="Garamond" w:hAnsi="Garamond" w:cs="Times New Roman"/>
          <w:color w:val="000000"/>
          <w:sz w:val="24"/>
          <w:szCs w:val="24"/>
        </w:rPr>
        <w:instrText>ADDIN CSL_CITATION {"citationItems":[{"id":"ITEM-1","itemData":{"author":[{"dropping-particle":"","family":"Walby","given":"S","non-dropping-particle":"","parse-names":false,"suffix":""}],"id":"ITEM-1","issued":{"date-parts":[["2001"]]},"number-of-pages":"220-249","publisher-place":"Brussels","title":"Gender Mainstreaming in the European Employment Strategy","type":"report"},"uris":["http://www.mendeley.com/documents/?uuid=c513d275-bff1-43f7-93fa-46a024a74a69"]}],"mendeley":{"formattedCitation":"(Walby, 2001)","plainTextFormattedCitation":"(Walby, 2001)","previouslyFormattedCitation":"(Walby, 2001)"},"properties":{"noteIndex":0},"schema":"https://github.com/citation-style-language/schema/raw/master/csl-citation.json"}</w:instrText>
      </w:r>
      <w:r w:rsidR="004F4E28" w:rsidRPr="004E5D63">
        <w:rPr>
          <w:rFonts w:ascii="Garamond" w:hAnsi="Garamond" w:cs="Times New Roman"/>
          <w:color w:val="000000"/>
          <w:sz w:val="24"/>
          <w:szCs w:val="24"/>
        </w:rPr>
        <w:fldChar w:fldCharType="separate"/>
      </w:r>
      <w:proofErr w:type="gramStart"/>
      <w:r w:rsidR="004F4E28" w:rsidRPr="004E5D63">
        <w:rPr>
          <w:rFonts w:ascii="Garamond" w:hAnsi="Garamond" w:cs="Times New Roman"/>
          <w:noProof/>
          <w:color w:val="000000"/>
          <w:sz w:val="24"/>
          <w:szCs w:val="24"/>
        </w:rPr>
        <w:t>(Walby, 2001)</w:t>
      </w:r>
      <w:r w:rsidR="004F4E28"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w:t>
      </w:r>
      <w:proofErr w:type="gramEnd"/>
      <w:r w:rsidRPr="004E5D63">
        <w:rPr>
          <w:rFonts w:ascii="Garamond" w:hAnsi="Garamond" w:cs="Times New Roman"/>
          <w:color w:val="000000"/>
          <w:sz w:val="24"/>
          <w:szCs w:val="24"/>
        </w:rPr>
        <w:t xml:space="preserve"> </w:t>
      </w:r>
      <w:r w:rsidR="00397ED6" w:rsidRPr="00397ED6">
        <w:rPr>
          <w:rFonts w:ascii="Garamond" w:hAnsi="Garamond" w:cs="Times New Roman"/>
          <w:color w:val="000000"/>
          <w:sz w:val="24"/>
          <w:szCs w:val="24"/>
        </w:rPr>
        <w:t xml:space="preserve">mainstream-friendly and economic policy is dominated by a 'enunciate money, channel economics' class of the neo-liberal send </w:t>
      </w:r>
      <w:r w:rsidR="004F4E28" w:rsidRPr="004E5D63">
        <w:rPr>
          <w:rFonts w:ascii="Garamond" w:hAnsi="Garamond" w:cs="Times New Roman"/>
          <w:color w:val="000000"/>
          <w:sz w:val="24"/>
          <w:szCs w:val="24"/>
        </w:rPr>
        <w:fldChar w:fldCharType="begin" w:fldLock="1"/>
      </w:r>
      <w:r w:rsidR="001E38DC" w:rsidRPr="004E5D63">
        <w:rPr>
          <w:rFonts w:ascii="Garamond" w:hAnsi="Garamond" w:cs="Times New Roman"/>
          <w:color w:val="000000"/>
          <w:sz w:val="24"/>
          <w:szCs w:val="24"/>
        </w:rPr>
        <w:instrText>ADDIN CSL_CITATION {"citationItems":[{"id":"ITEM-1","itemData":{"DOI":"10.1111/1468-5965.00258","ISSN":"00219886","abstract":"This article examines the effects of Economic and Monetary Union (EMU) as a case study of Europeanization of EU Member States. Emphasis is placed on what these effects are, how they take place, and who is affected. The stress is on the diversity of these effects within a framework of powerful systemic pressures for convergence and on the different strategies and constructions placed on EMU by domestic elites. The extent of policy convergence is seen as contingent on the dynamic interactions between 'top-down' and 'bottom-up' aspects of EMU. How EMU affects states is pictured as a combination of 'thick' effects (captured by constructivism) and 'thin' effects (highlighted by rationalist approaches). The thick effects are confined to a small transnational policy community. But EMU has strengthened the domestic power of actors involved with this community. The article considers the implications for problems of conflict between elite and public discourse about Europe; for a differential Europe; and for the form of relationship amongst European states (semi-sovereignty and competition for cognitive leadership). A key shift is from adapting to a German monetary hegemony under the ERM to a more open competition for cognitive leadership, offering to small states new scope for influence.","author":[{"dropping-particle":"","family":"Dyson","given":"Kenneth","non-dropping-particle":"","parse-names":false,"suffix":""}],"container-title":"Journal of Common Market Studies","id":"ITEM-1","issue":"4","issued":{"date-parts":[["2000"]]},"page":"645-666","title":"EMU as Europeanization: Convergence, diversity and contingency","type":"article-journal","volume":"38"},"uris":["http://www.mendeley.com/documents/?uuid=0a35c771-62e3-4e5e-b15d-587f4a1aaa6d"]}],"mendeley":{"formattedCitation":"(Dyson, 2000)","plainTextFormattedCitation":"(Dyson, 2000)","previouslyFormattedCitation":"(Dyson, 2000)"},"properties":{"noteIndex":0},"schema":"https://github.com/citation-style-language/schema/raw/master/csl-citation.json"}</w:instrText>
      </w:r>
      <w:r w:rsidR="004F4E28" w:rsidRPr="004E5D63">
        <w:rPr>
          <w:rFonts w:ascii="Garamond" w:hAnsi="Garamond" w:cs="Times New Roman"/>
          <w:color w:val="000000"/>
          <w:sz w:val="24"/>
          <w:szCs w:val="24"/>
        </w:rPr>
        <w:fldChar w:fldCharType="separate"/>
      </w:r>
      <w:r w:rsidR="004F4E28" w:rsidRPr="004E5D63">
        <w:rPr>
          <w:rFonts w:ascii="Garamond" w:hAnsi="Garamond" w:cs="Times New Roman"/>
          <w:noProof/>
          <w:color w:val="000000"/>
          <w:sz w:val="24"/>
          <w:szCs w:val="24"/>
        </w:rPr>
        <w:t>(Dyson, 2000)</w:t>
      </w:r>
      <w:r w:rsidR="004F4E28"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w:t>
      </w:r>
      <w:r w:rsidRPr="004E5D63">
        <w:rPr>
          <w:rFonts w:ascii="Garamond" w:hAnsi="Garamond" w:cs="Times New Roman"/>
          <w:sz w:val="24"/>
          <w:szCs w:val="24"/>
        </w:rPr>
        <w:t xml:space="preserve"> </w:t>
      </w:r>
      <w:r w:rsidRPr="0094122D">
        <w:rPr>
          <w:rFonts w:ascii="Garamond" w:hAnsi="Garamond" w:cs="Times New Roman"/>
          <w:color w:val="000000"/>
          <w:sz w:val="24"/>
          <w:szCs w:val="24"/>
        </w:rPr>
        <w:t>There is also a problem concerning the mainstream collection: to what degree it focuses on conversion tracking, on systematic litigating on behalf of women, and steps to facilitate conversion in both men and women</w:t>
      </w:r>
      <w:r w:rsidR="001E38DC" w:rsidRPr="004E5D63">
        <w:rPr>
          <w:rFonts w:ascii="Garamond" w:hAnsi="Garamond" w:cs="Times New Roman"/>
          <w:color w:val="000000"/>
          <w:sz w:val="24"/>
          <w:szCs w:val="24"/>
        </w:rPr>
        <w:fldChar w:fldCharType="begin" w:fldLock="1"/>
      </w:r>
      <w:r w:rsidR="001E38DC" w:rsidRPr="004E5D63">
        <w:rPr>
          <w:rFonts w:ascii="Garamond" w:hAnsi="Garamond" w:cs="Times New Roman"/>
          <w:color w:val="000000"/>
          <w:sz w:val="24"/>
          <w:szCs w:val="24"/>
        </w:rPr>
        <w:instrText>ADDIN CSL_CITATION {"citationItems":[{"id":"ITEM-1","itemData":{"DOI":"10.1177/13505068020090040401","ISSN":"13505068","abstract":"This article aims to make a contribution to the conceptualization of mainstreaming gender equality promoted by the European Union. It starts by exploring the historical periodization of equal opportunities delivery strategies and challenging the compartmentalization of these developments. It suggests that equality policies can better be conceptualized in terms of a 'three-legged equality stool', which recognizes the interconnectiveness of three perspectives - the equal treatment perspective, the women's perspective and the gender perspective. The article argues that the gender perspective has been closely associated with strategies for mainstreaming gender equality, but that this association is misleading. As a result mainstreaming has remained a 'fuzzy' concept, which in turn has led to many different styles and forms of practical implementation in European member states.","author":[{"dropping-particle":"","family":"Booth","given":"Christine","non-dropping-particle":"","parse-names":false,"suffix":""},{"dropping-particle":"","family":"Bennett","given":"Cinnamon","non-dropping-particle":"","parse-names":false,"suffix":""}],"container-title":"European Journal of Women's Studies","id":"ITEM-1","issue":"4","issued":{"date-parts":[["2002"]]},"page":"430-446","title":"Gender mainstreaming in the European Union: Towards a new conception and practice of equal opportunities?","type":"article-journal","volume":"9"},"uris":["http://www.mendeley.com/documents/?uuid=b6a470e5-8a9f-4708-8f1c-4f3f5284174c"]}],"mendeley":{"formattedCitation":"(Booth &amp; Bennett, 2002)","plainTextFormattedCitation":"(Booth &amp; Bennett, 2002)","previouslyFormattedCitation":"(Booth &amp; Bennett, 2002)"},"properties":{"noteIndex":0},"schema":"https://github.com/citation-style-language/schema/raw/master/csl-citation.json"}</w:instrText>
      </w:r>
      <w:r w:rsidR="001E38DC" w:rsidRPr="004E5D63">
        <w:rPr>
          <w:rFonts w:ascii="Garamond" w:hAnsi="Garamond" w:cs="Times New Roman"/>
          <w:color w:val="000000"/>
          <w:sz w:val="24"/>
          <w:szCs w:val="24"/>
        </w:rPr>
        <w:fldChar w:fldCharType="separate"/>
      </w:r>
      <w:r w:rsidR="001E38DC" w:rsidRPr="004E5D63">
        <w:rPr>
          <w:rFonts w:ascii="Garamond" w:hAnsi="Garamond" w:cs="Times New Roman"/>
          <w:noProof/>
          <w:color w:val="000000"/>
          <w:sz w:val="24"/>
          <w:szCs w:val="24"/>
        </w:rPr>
        <w:t>(Booth &amp; Bennett, 2002)</w:t>
      </w:r>
      <w:r w:rsidR="001E38DC"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w:t>
      </w:r>
      <w:r w:rsidRPr="004E5D63">
        <w:rPr>
          <w:rFonts w:ascii="Garamond" w:hAnsi="Garamond" w:cs="Times New Roman"/>
          <w:sz w:val="24"/>
          <w:szCs w:val="24"/>
        </w:rPr>
        <w:t xml:space="preserve"> </w:t>
      </w:r>
      <w:r w:rsidR="00DB24B7" w:rsidRPr="00DB24B7">
        <w:rPr>
          <w:rFonts w:ascii="Garamond" w:hAnsi="Garamond" w:cs="Times New Roman"/>
          <w:color w:val="000000"/>
          <w:sz w:val="24"/>
          <w:szCs w:val="24"/>
        </w:rPr>
        <w:t>The hazard of such contentedness in the 'tools' of growing acceptance and the unique impact-distinct in the status of sexuality-fighting studies, the racial-proofing of records, and the tracking of sexuality-as contractual targets in and of themselves</w:t>
      </w:r>
      <w:r w:rsidR="00397ED6" w:rsidRPr="00397ED6">
        <w:rPr>
          <w:rFonts w:ascii="Garamond" w:hAnsi="Garamond" w:cs="Times New Roman"/>
          <w:color w:val="000000"/>
          <w:sz w:val="24"/>
          <w:szCs w:val="24"/>
        </w:rPr>
        <w:t xml:space="preserve">. However, this explanation of mainstreaming fitted healed with the new forms of concept adoptive solon widely in the politeness of multiethnic policies under the ingenious co-ordination </w:t>
      </w:r>
      <w:r w:rsidR="001E38DC" w:rsidRPr="004E5D63">
        <w:rPr>
          <w:rFonts w:ascii="Garamond" w:hAnsi="Garamond" w:cs="Times New Roman"/>
          <w:color w:val="000000"/>
          <w:sz w:val="24"/>
          <w:szCs w:val="24"/>
        </w:rPr>
        <w:fldChar w:fldCharType="begin" w:fldLock="1"/>
      </w:r>
      <w:r w:rsidR="001E38DC" w:rsidRPr="004E5D63">
        <w:rPr>
          <w:rFonts w:ascii="Garamond" w:hAnsi="Garamond" w:cs="Times New Roman"/>
          <w:color w:val="000000"/>
          <w:sz w:val="24"/>
          <w:szCs w:val="24"/>
        </w:rPr>
        <w:instrText>ADDIN CSL_CITATION {"citationItems":[{"id":"ITEM-1","itemData":{"author":[{"dropping-particle":"","family":"Rees","given":"T.","non-dropping-particle":"","parse-names":false,"suffix":""}],"id":"ITEM-1","issued":{"date-parts":[["1998"]]},"publisher":"Routledge","publisher-place":"London","title":"Mainstreaming Equality in the European Union: Education, Training and Labour Market Policiese","type":"book"},"uris":["http://www.mendeley.com/documents/?uuid=aba83393-faa2-4252-aae1-44fe19df1745"]}],"mendeley":{"formattedCitation":"(Rees, 1998)","plainTextFormattedCitation":"(Rees, 1998)","previouslyFormattedCitation":"(Rees, 1998)"},"properties":{"noteIndex":0},"schema":"https://github.com/citation-style-language/schema/raw/master/csl-citation.json"}</w:instrText>
      </w:r>
      <w:r w:rsidR="001E38DC" w:rsidRPr="004E5D63">
        <w:rPr>
          <w:rFonts w:ascii="Garamond" w:hAnsi="Garamond" w:cs="Times New Roman"/>
          <w:color w:val="000000"/>
          <w:sz w:val="24"/>
          <w:szCs w:val="24"/>
        </w:rPr>
        <w:fldChar w:fldCharType="separate"/>
      </w:r>
      <w:r w:rsidR="001E38DC" w:rsidRPr="004E5D63">
        <w:rPr>
          <w:rFonts w:ascii="Garamond" w:hAnsi="Garamond" w:cs="Times New Roman"/>
          <w:noProof/>
          <w:color w:val="000000"/>
          <w:sz w:val="24"/>
          <w:szCs w:val="24"/>
        </w:rPr>
        <w:t>(Rees, 1998)</w:t>
      </w:r>
      <w:r w:rsidR="001E38DC"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w:t>
      </w:r>
      <w:r w:rsidR="006506C2" w:rsidRPr="004E5D63">
        <w:rPr>
          <w:rFonts w:ascii="Garamond" w:hAnsi="Garamond" w:cs="Times New Roman"/>
          <w:sz w:val="24"/>
          <w:szCs w:val="24"/>
        </w:rPr>
        <w:t xml:space="preserve"> </w:t>
      </w:r>
      <w:r w:rsidR="00DB24B7" w:rsidRPr="00DB24B7">
        <w:rPr>
          <w:rFonts w:ascii="Garamond" w:hAnsi="Garamond" w:cs="Times New Roman"/>
          <w:color w:val="000000"/>
          <w:sz w:val="24"/>
          <w:szCs w:val="24"/>
        </w:rPr>
        <w:t xml:space="preserve">The hair-splitting essence of the direction of the policy-making process behind these two components of reform in the strategy to positioning regulations is beyond that of this publisher, as are great debates as to whether identical instruments can be used to articulate actual different forms of inequality. </w:t>
      </w:r>
      <w:r w:rsidR="001E38DC" w:rsidRPr="004E5D63">
        <w:rPr>
          <w:rFonts w:ascii="Garamond" w:hAnsi="Garamond" w:cs="Times New Roman"/>
          <w:color w:val="000000"/>
          <w:sz w:val="24"/>
          <w:szCs w:val="24"/>
        </w:rPr>
        <w:fldChar w:fldCharType="begin" w:fldLock="1"/>
      </w:r>
      <w:r w:rsidR="00D30CE2">
        <w:rPr>
          <w:rFonts w:ascii="Garamond" w:hAnsi="Garamond" w:cs="Times New Roman"/>
          <w:color w:val="000000"/>
          <w:sz w:val="24"/>
          <w:szCs w:val="24"/>
        </w:rPr>
        <w:instrText>ADDIN CSL_CITATION {"citationItems":[{"id":"ITEM-1","itemData":{"DOI":"10.1111/1541-1338.00005","ISSN":"1541-132X","author":[{"dropping-particle":"","family":"Woodward","given":"Alison","non-dropping-particle":"","parse-names":false,"suffix":""}],"container-title":"Review of Policy Research","id":"ITEM-1","issue":"1","issued":{"date-parts":[["2003"]]},"page":"65-88","title":"European Gender Mainstreaming: Promises and Pitfalls of Transformative Policy1","type":"article-journal","volume":"20"},"uris":["http://www.mendeley.com/documents/?uuid=eee1fb7c-3ca8-4fdf-bcf1-5ae671048d48"]}],"mendeley":{"formattedCitation":"(Woodward, 2003)","plainTextFormattedCitation":"(Woodward, 2003)","previouslyFormattedCitation":"(Woodward, 2003)"},"properties":{"noteIndex":0},"schema":"https://github.com/citation-style-language/schema/raw/master/csl-citation.json"}</w:instrText>
      </w:r>
      <w:r w:rsidR="001E38DC" w:rsidRPr="004E5D63">
        <w:rPr>
          <w:rFonts w:ascii="Garamond" w:hAnsi="Garamond" w:cs="Times New Roman"/>
          <w:color w:val="000000"/>
          <w:sz w:val="24"/>
          <w:szCs w:val="24"/>
        </w:rPr>
        <w:fldChar w:fldCharType="separate"/>
      </w:r>
      <w:proofErr w:type="gramStart"/>
      <w:r w:rsidR="00D30CE2" w:rsidRPr="00D30CE2">
        <w:rPr>
          <w:rFonts w:ascii="Garamond" w:hAnsi="Garamond" w:cs="Times New Roman"/>
          <w:noProof/>
          <w:color w:val="000000"/>
          <w:sz w:val="24"/>
          <w:szCs w:val="24"/>
        </w:rPr>
        <w:t>(Woodward, 2003)</w:t>
      </w:r>
      <w:r w:rsidR="001E38DC" w:rsidRPr="004E5D63">
        <w:rPr>
          <w:rFonts w:ascii="Garamond" w:hAnsi="Garamond" w:cs="Times New Roman"/>
          <w:color w:val="000000"/>
          <w:sz w:val="24"/>
          <w:szCs w:val="24"/>
        </w:rPr>
        <w:fldChar w:fldCharType="end"/>
      </w:r>
      <w:r w:rsidR="006506C2" w:rsidRPr="004E5D63">
        <w:rPr>
          <w:rFonts w:ascii="Garamond" w:hAnsi="Garamond" w:cs="Times New Roman"/>
          <w:color w:val="000000"/>
          <w:sz w:val="24"/>
          <w:szCs w:val="24"/>
        </w:rPr>
        <w:t>.</w:t>
      </w:r>
      <w:proofErr w:type="gramEnd"/>
      <w:r w:rsidR="006506C2" w:rsidRPr="004E5D63">
        <w:rPr>
          <w:rFonts w:ascii="Garamond" w:hAnsi="Garamond" w:cs="Times New Roman"/>
          <w:sz w:val="24"/>
          <w:szCs w:val="24"/>
        </w:rPr>
        <w:t xml:space="preserve"> </w:t>
      </w:r>
      <w:r w:rsidR="00DB24B7" w:rsidRPr="00DB24B7">
        <w:rPr>
          <w:rFonts w:ascii="Garamond" w:hAnsi="Garamond" w:cs="Times New Roman"/>
          <w:color w:val="000000"/>
          <w:sz w:val="24"/>
          <w:szCs w:val="24"/>
        </w:rPr>
        <w:t xml:space="preserve">Efforts to use someone's rights are meant to resolve the problems of forgathering inequality. It is also likely to assume a broader connection between the ulcerated whim of rights-based anti-discrimination laws and the backdrop of policy-making and price-making. </w:t>
      </w:r>
      <w:r w:rsidR="001E38DC" w:rsidRPr="004E5D63">
        <w:rPr>
          <w:rFonts w:ascii="Garamond" w:hAnsi="Garamond" w:cs="Times New Roman"/>
          <w:color w:val="000000"/>
          <w:sz w:val="24"/>
          <w:szCs w:val="24"/>
        </w:rPr>
        <w:fldChar w:fldCharType="begin" w:fldLock="1"/>
      </w:r>
      <w:r w:rsidR="001E38DC" w:rsidRPr="004E5D63">
        <w:rPr>
          <w:rFonts w:ascii="Garamond" w:hAnsi="Garamond" w:cs="Times New Roman"/>
          <w:color w:val="000000"/>
          <w:sz w:val="24"/>
          <w:szCs w:val="24"/>
        </w:rPr>
        <w:instrText>ADDIN CSL_CITATION {"citationItems":[{"id":"ITEM-1","itemData":{"DOI":"10.1007/s10551-013-1663-9","ISSN":"15730697","abstract":"Although the proportion of women in leadership positions has grown over the past decades, women are still underrepresented in leadership roles, which poses an ethical challenge to society at large but business in particular. Accordingly, a growing body of research has attempted to unravel the reasons for this inequality. Besides theoretical progress, a central goal of these studies is to inform measures targeted at increasing the share of women in leadership positions. Striving to contribute to these efforts and drawing on several theoretical approaches, the present study provides a contemporary examination of (a) whether women and men differ in their levels of power motivation and (b) whether potential gender differences in this motivation contribute to the unequal distribution of women and men in leadership positions. Results from four studies provide converging support for these assumptions. Specifically, we found that women consistently reported lower power motivation than men. This in turn mediated the link between gender and leadership role occupancy. These results were robust to several methodological variations including samples from different populations (i.e., student samples and large heterogeneous samples of employee), diverse operationalizations of power motivation and leadership role occupancy (self- and other ratings), and study design (cross-sectional and time-lagged designs). Implications for theory and practice, including ways to contribute to a more equal gender distribution in leadership positions, are discussed. © 2013 Springer Science+Business Media Dordrecht.","author":[{"dropping-particle":"","family":"Schuh","given":"Sebastian C.","non-dropping-particle":"","parse-names":false,"suffix":""},{"dropping-particle":"","family":"Hernandez Bark","given":"Alina S.","non-dropping-particle":"","parse-names":false,"suffix":""},{"dropping-particle":"","family":"Quaquebeke","given":"Niels","non-dropping-particle":"Van","parse-names":false,"suffix":""},{"dropping-particle":"","family":"Hossiep","given":"Rüdiger","non-dropping-particle":"","parse-names":false,"suffix":""},{"dropping-particle":"","family":"Frieg","given":"Philip","non-dropping-particle":"","parse-names":false,"suffix":""},{"dropping-particle":"","family":"Dick","given":"Rolf","non-dropping-particle":"Van","parse-names":false,"suffix":""}],"container-title":"Journal of Business Ethics","id":"ITEM-1","issue":"3","issued":{"date-parts":[["2014"]]},"page":"363-379","title":"Gender Differences in Leadership Role Occupancy: The Mediating Role of Power Motivation","type":"article-journal","volume":"120"},"uris":["http://www.mendeley.com/documents/?uuid=88729186-ca7c-4548-9cf9-d32aad7570eb"]}],"mendeley":{"formattedCitation":"(Schuh et al., 2014)","plainTextFormattedCitation":"(Schuh et al., 2014)","previouslyFormattedCitation":"(Schuh et al., 2014)"},"properties":{"noteIndex":0},"schema":"https://github.com/citation-style-language/schema/raw/master/csl-citation.json"}</w:instrText>
      </w:r>
      <w:r w:rsidR="001E38DC" w:rsidRPr="004E5D63">
        <w:rPr>
          <w:rFonts w:ascii="Garamond" w:hAnsi="Garamond" w:cs="Times New Roman"/>
          <w:color w:val="000000"/>
          <w:sz w:val="24"/>
          <w:szCs w:val="24"/>
        </w:rPr>
        <w:fldChar w:fldCharType="separate"/>
      </w:r>
      <w:proofErr w:type="gramStart"/>
      <w:r w:rsidR="001E38DC" w:rsidRPr="004E5D63">
        <w:rPr>
          <w:rFonts w:ascii="Garamond" w:hAnsi="Garamond" w:cs="Times New Roman"/>
          <w:noProof/>
          <w:color w:val="000000"/>
          <w:sz w:val="24"/>
          <w:szCs w:val="24"/>
        </w:rPr>
        <w:t>(Schuh et al., 2014)</w:t>
      </w:r>
      <w:r w:rsidR="001E38DC" w:rsidRPr="004E5D63">
        <w:rPr>
          <w:rFonts w:ascii="Garamond" w:hAnsi="Garamond" w:cs="Times New Roman"/>
          <w:color w:val="000000"/>
          <w:sz w:val="24"/>
          <w:szCs w:val="24"/>
        </w:rPr>
        <w:fldChar w:fldCharType="end"/>
      </w:r>
      <w:r w:rsidR="006506C2" w:rsidRPr="004E5D63">
        <w:rPr>
          <w:rFonts w:ascii="Garamond" w:hAnsi="Garamond" w:cs="Times New Roman"/>
          <w:color w:val="000000"/>
          <w:sz w:val="24"/>
          <w:szCs w:val="24"/>
        </w:rPr>
        <w:t>.</w:t>
      </w:r>
      <w:proofErr w:type="gramEnd"/>
    </w:p>
    <w:p w:rsidR="009A7244" w:rsidRDefault="00C02436" w:rsidP="00397ED6">
      <w:pPr>
        <w:spacing w:line="240" w:lineRule="auto"/>
        <w:ind w:firstLine="720"/>
        <w:jc w:val="both"/>
        <w:rPr>
          <w:rFonts w:ascii="Garamond" w:hAnsi="Garamond" w:cs="Times New Roman"/>
          <w:color w:val="131413"/>
          <w:sz w:val="24"/>
          <w:szCs w:val="24"/>
        </w:rPr>
      </w:pPr>
      <w:r w:rsidRPr="00DB24B7">
        <w:rPr>
          <w:rFonts w:ascii="Garamond" w:hAnsi="Garamond" w:cs="Times New Roman"/>
          <w:color w:val="131413"/>
          <w:sz w:val="24"/>
          <w:szCs w:val="24"/>
        </w:rPr>
        <w:t>Oral traditions have been systematically gathered and misrepresented to assign chronology, activity, and ethnic affiliation. Indeed, initially, the importance of learning grammar was substantial in transitional or pre-contact anthropology than in past human cultures, where textual sources were given priority.</w:t>
      </w:r>
      <w:r w:rsidR="001E38DC" w:rsidRPr="004E5D63">
        <w:rPr>
          <w:rFonts w:ascii="Garamond" w:hAnsi="Garamond" w:cs="Times New Roman"/>
          <w:color w:val="131413"/>
          <w:sz w:val="24"/>
          <w:szCs w:val="24"/>
        </w:rPr>
        <w:fldChar w:fldCharType="begin" w:fldLock="1"/>
      </w:r>
      <w:r w:rsidR="00D30CE2">
        <w:rPr>
          <w:rFonts w:ascii="Garamond" w:hAnsi="Garamond" w:cs="Times New Roman"/>
          <w:color w:val="131413"/>
          <w:sz w:val="24"/>
          <w:szCs w:val="24"/>
        </w:rPr>
        <w:instrText>ADDIN CSL_CITATION {"citationItems":[{"id":"ITEM-1","itemData":{"DOI":"10.3102/00028312029002325","ISSN":"0002-8312","abstract":"This study explores the relationship between the personal history-based beliefs preservice teachers brought to their study of teaching and the principles of reading, writing, and discussing to learn that one professor advocated. This analysis represents an effort to look closely at how preservice teachers use the knowledge they bring with them from their lives as students to make decisions while engaged in course work about the value of ideas they hear there. This study documents (a) the lay theories and beliefs that participants had developed out of their personal history-based experiences, (b) the decisions that participants made about the potential value of the principles of good instruction encountered as part of their course work, and (c) the relationship between their personal history-based beliefs and those decisions as explained by each preservice teacher.","author":[{"dropping-particle":"","family":"Holt-Reynolds","given":"Diane","non-dropping-particle":"","parse-names":false,"suffix":""}],"container-title":"American Educational Research Journal","id":"ITEM-1","issue":"2","issued":{"date-parts":[["1992"]]},"page":"325-349","title":"Personal History-Based Beliefs as Relevant Prior Knowledge in Course Work","type":"article-journal","volume":"29"},"uris":["http://www.mendeley.com/documents/?uuid=c17f9a54-1c35-4196-a44b-fed204f571b5"]}],"mendeley":{"formattedCitation":"(Holt-Reynolds, 1992)","plainTextFormattedCitation":"(Holt-Reynolds, 1992)","previouslyFormattedCitation":"(Holt-Reynolds, 1992)"},"properties":{"noteIndex":0},"schema":"https://github.com/citation-style-language/schema/raw/master/csl-citation.json"}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proofErr w:type="gramStart"/>
      <w:r w:rsidR="00D30CE2" w:rsidRPr="00D30CE2">
        <w:rPr>
          <w:rFonts w:ascii="Garamond" w:hAnsi="Garamond" w:cs="Times New Roman"/>
          <w:noProof/>
          <w:color w:val="131413"/>
          <w:sz w:val="24"/>
          <w:szCs w:val="24"/>
        </w:rPr>
        <w:t>(Holt-Reynolds, 1992)</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w:t>
      </w:r>
      <w:proofErr w:type="gramEnd"/>
      <w:r w:rsidRPr="004E5D63">
        <w:rPr>
          <w:rFonts w:ascii="Garamond" w:hAnsi="Garamond" w:cs="Times New Roman"/>
          <w:color w:val="131413"/>
          <w:sz w:val="24"/>
          <w:szCs w:val="24"/>
        </w:rPr>
        <w:t xml:space="preserve"> </w:t>
      </w:r>
      <w:r w:rsidRPr="00DB24B7">
        <w:rPr>
          <w:rFonts w:ascii="Garamond" w:hAnsi="Garamond" w:cs="Times New Roman"/>
          <w:color w:val="131413"/>
          <w:sz w:val="24"/>
          <w:szCs w:val="24"/>
        </w:rPr>
        <w:t>Excluding Indweller folklore, non-Western oral beliefs are also imbued with messaging and non-literal elements, as well as 'populated by imaginary beings engaged in incredible happenings.</w:t>
      </w:r>
      <w:r w:rsidR="00397ED6" w:rsidRPr="00397ED6">
        <w:rPr>
          <w:rFonts w:ascii="Garamond" w:hAnsi="Garamond" w:cs="Times New Roman"/>
          <w:color w:val="131413"/>
          <w:sz w:val="24"/>
          <w:szCs w:val="24"/>
        </w:rPr>
        <w:t xml:space="preserv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{"citationItems":[{"id":"ITEM-1","itemData":{"author":[{"dropping-particle":"","family":"Mason","given":"Ronald J.","non-dropping-particle":"","parse-names":false,"suffix":""}],"container-title":"American Antiquity","id":"ITEM-1","issue":"2","issued":{"date-parts":[["2010"]]},"page":"239-266","title":"Society for American Archaeology Archaeology and Native North American Oral Traditions","type":"article-journal","volume":"65"},"uris":["http://www.mendeley.com/documents/?uuid=548908a4-6063-40e8-b03b-f9808104f2ef"]}],"mendeley":{"formattedCitation":"(Mason, 2010)","plainTextFormattedCitation":"(Mason, 2010)","previouslyFormattedCitation":"(Mason, 2010)"},"properties":{"noteIndex":0},"schema":"https://github.com/citation-style-language/schema/raw/master/csl-citation.json"}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proofErr w:type="gramStart"/>
      <w:r w:rsidR="001E38DC" w:rsidRPr="004E5D63">
        <w:rPr>
          <w:rFonts w:ascii="Garamond" w:hAnsi="Garamond" w:cs="Times New Roman"/>
          <w:noProof/>
          <w:color w:val="131413"/>
          <w:sz w:val="24"/>
          <w:szCs w:val="24"/>
        </w:rPr>
        <w:t>(Mason, 2010)</w:t>
      </w:r>
      <w:r w:rsidR="001E38DC" w:rsidRPr="004E5D63">
        <w:rPr>
          <w:rFonts w:ascii="Garamond" w:hAnsi="Garamond" w:cs="Times New Roman"/>
          <w:color w:val="131413"/>
          <w:sz w:val="24"/>
          <w:szCs w:val="24"/>
        </w:rPr>
        <w:fldChar w:fldCharType="end"/>
      </w:r>
      <w:r w:rsidR="001E38DC" w:rsidRPr="004E5D63">
        <w:rPr>
          <w:rFonts w:ascii="Garamond" w:hAnsi="Garamond" w:cs="Times New Roman"/>
          <w:color w:val="131413"/>
          <w:sz w:val="24"/>
          <w:szCs w:val="24"/>
        </w:rPr>
        <w:t>.</w:t>
      </w:r>
      <w:proofErr w:type="gramEnd"/>
      <w:r w:rsidR="001E38DC" w:rsidRPr="004E5D63">
        <w:rPr>
          <w:rFonts w:ascii="Garamond" w:hAnsi="Garamond" w:cs="Times New Roman"/>
          <w:color w:val="131413"/>
          <w:sz w:val="24"/>
          <w:szCs w:val="24"/>
        </w:rPr>
        <w:t xml:space="preserve"> </w:t>
      </w:r>
      <w:r w:rsidRPr="00DB24B7">
        <w:rPr>
          <w:rFonts w:ascii="Garamond" w:hAnsi="Garamond" w:cs="Times New Roman"/>
          <w:color w:val="131413"/>
          <w:sz w:val="24"/>
          <w:szCs w:val="24"/>
        </w:rPr>
        <w:t>Criticism of the purpose of an objective, impartial anthropology discipline, and numerous studies showing that the archaeological interpretation of the ancient may be vindictive as much as the number of subjectivities, desires and noise connections of the division as the analysis of traditions.</w:t>
      </w:r>
      <w:r w:rsidR="00397ED6" w:rsidRPr="00397ED6">
        <w:rPr>
          <w:rFonts w:ascii="Garamond" w:hAnsi="Garamond" w:cs="Times New Roman"/>
          <w:color w:val="131413"/>
          <w:sz w:val="24"/>
          <w:szCs w:val="24"/>
        </w:rPr>
        <w:t xml:space="preserve"> In this observe, studies of the part of anthropolo</w:t>
      </w:r>
      <w:r w:rsidR="00397ED6">
        <w:rPr>
          <w:rFonts w:ascii="Garamond" w:hAnsi="Garamond" w:cs="Times New Roman"/>
          <w:color w:val="131413"/>
          <w:sz w:val="24"/>
          <w:szCs w:val="24"/>
        </w:rPr>
        <w:t>gy inquiry in the design of oral</w:t>
      </w:r>
      <w:r w:rsidR="00397ED6" w:rsidRPr="00397ED6">
        <w:rPr>
          <w:rFonts w:ascii="Garamond" w:hAnsi="Garamond" w:cs="Times New Roman"/>
          <w:color w:val="131413"/>
          <w:sz w:val="24"/>
          <w:szCs w:val="24"/>
        </w:rPr>
        <w:t xml:space="preserve"> traditions and associated forms of available memory had especially puissant combat </w:t>
      </w:r>
      <w:r w:rsidRPr="004E5D63">
        <w:rPr>
          <w:rFonts w:ascii="Garamond" w:hAnsi="Garamond" w:cs="Times New Roman"/>
          <w:color w:val="131413"/>
          <w:sz w:val="24"/>
          <w:szCs w:val="24"/>
        </w:rPr>
        <w:t xml:space="preserve">(e.g., see contributions to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{"citationItems":[{"id":"ITEM-1","itemData":{"author":[{"dropping-particle":"","family":"Graves-Brown, P., Jones, S., and Gamble","given":"C. (eds.)","non-dropping-particle":"","parse-names":false,"suffix":""}],"id":"ITEM-1","issued":{"date-parts":[["1996"]]},"publisher":"Routledge","publisher-place":"London","title":"Cultural Identity and Archaeology: the Construction of European Communities","type":"book"},"uris":["http://www.mendeley.com/documents/?uuid=8627fce0-d96e-4ed2-932e-34a5673c20f0"]}],"mendeley":{"formattedCitation":"(Graves-Brown, P., Jones, S., and Gamble, 1996)","plainTextFormattedCitation":"(Graves-Brown, P., Jones, S., and Gamble, 1996)","previouslyFormattedCitation":"(Graves-Brown, P., Jones, S., and Gamble, 1996)"},"properties":{"noteIndex":0},"schema":"https://github.com/citation-style-language/schema/raw/master/csl-citation.json"}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(Graves-Brown, P., Jones, S., and Gamble, 1996)</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 xml:space="preserv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{"citationItems":[{"id":"ITEM-1","itemData":{"author":[{"dropping-particle":"","family":"Kohl, P. L., and Fawcett","given":"C. (eds.)","non-dropping-particle":"","parse-names":false,"suffix":""}],"id":"ITEM-1","issued":{"date-parts":[["1995"]]},"publisher":"Cambridge University Press","publisher-place":"Cambridge","title":"Nationalism, Politics and the Practice of Archaeology","type":"book"},"uris":["http://www.mendeley.com/documents/?uuid=9ac08e2d-9579-41f2-867a-985ec3d61b95"]}],"mendeley":{"formattedCitation":"(Kohl, P. L., and Fawcett, 1995)","plainTextFormattedCitation":"(Kohl, P. L., and Fawcett, 1995)","previouslyFormattedCitation":"(Kohl, P. L., and Fawcett, 1995)"},"properties":{"noteIndex":0},"schema":"https://github.com/citation-style-language/schema/raw/master/csl-citation.json"}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(Kohl, P. L., and Fawcett, 1995)</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 xml:space="preserv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{"citationItems":[{"id":"ITEM-1","itemData":{"author":[{"dropping-particle":"","family":"Kohl, P. L., Kozelsky, M., and Ben-Yehuda","given":"N. (eds.)","non-dropping-particle":"","parse-names":false,"suffix":""}],"id":"ITEM-1","issued":{"date-parts":[["2007"]]},"publisher":"Chicago University Press","publisher-place":"Chicago","title":"Selective Remembrances: Archaeology in the Construction, Commemoration, and Consecration of National Pasts","type":"book"},"uris":["http://www.mendeley.com/documents/?uuid=51745db3-460d-4025-8ac4-4252bf303455"]}],"mendeley":{"formattedCitation":"(Kohl, P. L., Kozelsky, M., and Ben-Yehuda, 2007)","plainTextFormattedCitation":"(Kohl, P. L., Kozelsky, M., and Ben-Yehuda, 2007)","previouslyFormattedCitation":"(Kohl, P. L., Kozelsky, M., and Ben-Yehuda, 2007)"},"properties":{"noteIndex":0},"schema":"https://github.com/citation-style-language/schema/raw/master/csl-citation.json"}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(Kohl, P. L., Kozelsky, M., and Ben-Yehuda, 2007)</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{"citationItems":[{"id":"ITEM-1","itemData":{"author":[{"dropping-particle":"","family":"Meskell","given":"L. (ed.)","non-dropping-particle":"","parse-names":false,"suffix":""}],"id":"ITEM-1","issued":{"date-parts":[["1998"]]},"publisher":"Routledge","publisher-place":"London","title":"Archaeology under Fire: Nationalism, Politics and Heritage in the Eastern Mediterranean and Middle East","type":"book"},"uris":["http://www.mendeley.com/documents/?uuid=1e617097-ef14-4891-aaa2-15f70177233c"]}],"mendeley":{"formattedCitation":"(Meskell, 1998)","plainTextFormattedCitation":"(Meskell, 1998)","previouslyFormattedCitation":"(Meskell, 1998)"},"properties":{"noteIndex":0},"schema":"https://github.com/citation-style-language/schema/raw/master/csl-citation.json"}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(Meskell, 1998)</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w:t>
      </w:r>
    </w:p>
    <w:p w:rsidR="004E5D63" w:rsidRPr="00C85B1E" w:rsidRDefault="00C02436" w:rsidP="00C85B1E">
      <w:pPr>
        <w:spacing w:line="240" w:lineRule="auto"/>
        <w:ind w:firstLine="720"/>
        <w:jc w:val="both"/>
        <w:rPr>
          <w:rFonts w:ascii="Garamond" w:hAnsi="Garamond" w:cs="Times New Roman"/>
          <w:color w:val="131413"/>
          <w:sz w:val="24"/>
          <w:szCs w:val="24"/>
        </w:rPr>
      </w:pPr>
      <w:r w:rsidRPr="004E5D63">
        <w:rPr>
          <w:rFonts w:ascii="Garamond" w:hAnsi="Garamond" w:cs="Times New Roman"/>
          <w:color w:val="131413"/>
          <w:sz w:val="24"/>
          <w:szCs w:val="24"/>
        </w:rPr>
        <w:t>Similarly, urban archaeology is an important area</w:t>
      </w:r>
      <w:r w:rsidR="00F470F7" w:rsidRPr="004E5D63">
        <w:rPr>
          <w:rFonts w:ascii="Garamond" w:hAnsi="Garamond" w:cs="Times New Roman"/>
          <w:color w:val="131413"/>
          <w:sz w:val="24"/>
          <w:szCs w:val="24"/>
        </w:rPr>
        <w:t xml:space="preserve"> </w:t>
      </w:r>
      <w:r w:rsidRPr="004E5D63">
        <w:rPr>
          <w:rFonts w:ascii="Garamond" w:hAnsi="Garamond" w:cs="Times New Roman"/>
          <w:color w:val="131413"/>
          <w:sz w:val="24"/>
          <w:szCs w:val="24"/>
        </w:rPr>
        <w:t>where oral test</w:t>
      </w:r>
      <w:r w:rsidR="00530023" w:rsidRPr="004E5D63">
        <w:rPr>
          <w:rFonts w:ascii="Garamond" w:hAnsi="Garamond" w:cs="Times New Roman"/>
          <w:color w:val="131413"/>
          <w:sz w:val="24"/>
          <w:szCs w:val="24"/>
        </w:rPr>
        <w:t xml:space="preserve">imony played a crucial role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{"citationItems":[{"id":"ITEM-1","itemData":{"author":[{"dropping-particle":"","family":"Karskens, G., and Lawrence","given":"S","non-dropping-particle":"","parse-names":false,"suffix":""}],"id":"ITEM-1","issued":{"date-parts":[["2003"]]},"number-of-pages":"87-111","publisher-place":"sidney","title":"The archaeology of cities: What is it we want to know? In Murray, T. (ed.), Exploring the Modern City: Recent Approaches to Urban History and Archaeology, Museum of Sydney","type":"report"},"uris":["http://www.mendeley.com/documents/?uuid=240a29f5-8e70-43ce-857d-3313ffe1b732"]}],"mendeley":{"formattedCitation":"(Karskens, G., and Lawrence, 2003)","plainTextFormattedCitation":"(Karskens, G., and Lawrence, 2003)","previouslyFormattedCitation":"(Karskens, G., and Lawrence, 2003)"},"properties":{"noteIndex":0},"schema":"https://github.com/citation-style-language/schema/raw/master/csl-citation.json"}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(Karskens, G., and Lawrence, 2003)</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 xml:space="preserv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{"citationItems":[{"id":"ITEM-1","itemData":{"author":[{"dropping-particle":"","family":"Schuyler","given":"R. L","non-dropping-particle":"","parse-names":false,"suffix":""}],"id":"ITEM-1","issued":{"date-parts":[["1977"]]},"number-of-pages":"99-120","title":"The spoken word, the written word, observed behavior and preserved behavior: The contexts available to the archaeologist. The Conference on Historic Site Archaeology Papers","type":"report"},"uris":["http://www.mendeley.com/documents/?uuid=1a472996-0b8c-45fc-9a76-63571523f42b"]}],"mendeley":{"formattedCitation":"(Schuyler, 1977)","plainTextFormattedCitation":"(Schuyler, 1977)","previouslyFormattedCitation":"(Schuyler, 1977)"},"properties":{"noteIndex":0},"schema":"https://github.com/citation-style-language/schema/raw/master/csl-citation.json"}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r w:rsidR="001E38DC" w:rsidRPr="004E5D63">
        <w:rPr>
          <w:rFonts w:ascii="Garamond" w:hAnsi="Garamond" w:cs="Times New Roman"/>
          <w:noProof/>
          <w:color w:val="131413"/>
          <w:sz w:val="24"/>
          <w:szCs w:val="24"/>
        </w:rPr>
        <w:t>(Schuyler, 1977)</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w:t>
      </w:r>
      <w:r w:rsidRPr="004E5D63">
        <w:rPr>
          <w:rFonts w:ascii="Garamond" w:hAnsi="Garamond" w:cs="Times New Roman"/>
          <w:sz w:val="24"/>
          <w:szCs w:val="24"/>
        </w:rPr>
        <w:t xml:space="preserve"> </w:t>
      </w:r>
      <w:r w:rsidRPr="00DB24B7">
        <w:rPr>
          <w:rFonts w:ascii="Garamond" w:hAnsi="Garamond" w:cs="Times New Roman"/>
          <w:color w:val="131413"/>
          <w:sz w:val="24"/>
          <w:szCs w:val="24"/>
        </w:rPr>
        <w:t xml:space="preserve">New legal structures for social heritage, repatriation, and communication of fragile relics and object term bang have all played a part, requiring archaeologists to continue to engage with oral traditions, particularly on matters of place for people.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{"citationItems":[{"id":"ITEM-1","itemData":{"author":[{"dropping-particle":"","family":"Echo-hawk","given":"Author Roger C","non-dropping-particle":"","parse-names":false,"suffix":""},{"dropping-particle":"","family":"Url","given":"Stable","non-dropping-particle":"","parse-names":false,"suffix":""},{"dropping-particle":"","family":"Echo-hawk","given":"Roger C","non-dropping-particle":"","parse-names":false,"suffix":""}],"id":"ITEM-1","issue":"2","issued":{"date-parts":[["2013"]]},"page":"267-290","title":"Society for American Archaeology Ancient History in the New World : Integrating Oral Traditions and the Archaeological Record in Deep Time All use subject to JSTOR Terms and Conditions ANCIENT HISTORY IN THE NEW WORLD : INTEGRATING ORAL TRADITIONS AND THE","type":"article-journal","volume":"65"},"uris":["http://www.mendeley.com/documents/?uuid=58983397-d8d3-456c-ad0d-ea061eb8fcbd"]}],"mendeley":{"formattedCitation":"(Echo-hawk et al., 2013)","plainTextFormattedCitation":"(Echo-hawk et al., 2013)","previouslyFormattedCitation":"(Echo-hawk et al., 2013)"},"properties":{"noteIndex":0},"schema":"https://github.com/citation-style-language/schema/raw/master/csl-citation.json"}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proofErr w:type="gramStart"/>
      <w:r w:rsidR="001E38DC" w:rsidRPr="004E5D63">
        <w:rPr>
          <w:rFonts w:ascii="Garamond" w:hAnsi="Garamond" w:cs="Times New Roman"/>
          <w:noProof/>
          <w:color w:val="131413"/>
          <w:sz w:val="24"/>
          <w:szCs w:val="24"/>
        </w:rPr>
        <w:t>(Echo-hawk et al., 2013)</w:t>
      </w:r>
      <w:r w:rsidR="001E38DC" w:rsidRPr="004E5D63">
        <w:rPr>
          <w:rFonts w:ascii="Garamond" w:hAnsi="Garamond" w:cs="Times New Roman"/>
          <w:color w:val="131413"/>
          <w:sz w:val="24"/>
          <w:szCs w:val="24"/>
        </w:rPr>
        <w:fldChar w:fldCharType="end"/>
      </w:r>
      <w:r w:rsidRPr="004E5D63">
        <w:rPr>
          <w:rFonts w:ascii="Garamond" w:hAnsi="Garamond" w:cs="Times New Roman"/>
          <w:color w:val="131413"/>
          <w:sz w:val="24"/>
          <w:szCs w:val="24"/>
        </w:rPr>
        <w:t>.</w:t>
      </w:r>
      <w:proofErr w:type="gramEnd"/>
      <w:r w:rsidRPr="004E5D63">
        <w:rPr>
          <w:rFonts w:ascii="Garamond" w:hAnsi="Garamond" w:cs="Times New Roman"/>
          <w:color w:val="131413"/>
          <w:sz w:val="24"/>
          <w:szCs w:val="24"/>
        </w:rPr>
        <w:t xml:space="preserve"> </w:t>
      </w:r>
      <w:r w:rsidRPr="00DB24B7">
        <w:rPr>
          <w:rFonts w:ascii="Garamond" w:hAnsi="Garamond" w:cs="Times New Roman"/>
          <w:color w:val="131413"/>
          <w:sz w:val="24"/>
          <w:szCs w:val="24"/>
        </w:rPr>
        <w:t>As oral traditions and archaeology merge to make new insightful narratives, do we not intervene in past anthropology in whether texts are available and whether or not the cultures we research are a rhythm of the neo-planetary system? In this loudness, some scholars think of a secondary body that is at the periphery of what force is conventionally kn</w:t>
      </w:r>
      <w:r>
        <w:rPr>
          <w:rFonts w:ascii="Garamond" w:hAnsi="Garamond" w:cs="Times New Roman"/>
          <w:color w:val="131413"/>
          <w:sz w:val="24"/>
          <w:szCs w:val="24"/>
        </w:rPr>
        <w:t>own as traditional anthropology</w:t>
      </w:r>
      <w:r w:rsidR="006907C1" w:rsidRPr="006907C1">
        <w:rPr>
          <w:rFonts w:ascii="Garamond" w:hAnsi="Garamond" w:cs="Times New Roman"/>
          <w:color w:val="131413"/>
          <w:sz w:val="24"/>
          <w:szCs w:val="24"/>
        </w:rPr>
        <w:t xml:space="preserve">: </w:t>
      </w:r>
      <w:r w:rsidRPr="00DB24B7">
        <w:rPr>
          <w:rFonts w:ascii="Garamond" w:hAnsi="Garamond" w:cs="Times New Roman"/>
          <w:color w:val="131413"/>
          <w:sz w:val="24"/>
          <w:szCs w:val="24"/>
        </w:rPr>
        <w:t xml:space="preserve">Specific civilizations tilt art; property band forts; a settlement in Papua New Poultry dating back to about 600 geezer hoods; untimely medieval pictorial emblem </w:t>
      </w:r>
      <w:r w:rsidRPr="00DB24B7">
        <w:rPr>
          <w:rFonts w:ascii="Garamond" w:hAnsi="Garamond" w:cs="Times New Roman"/>
          <w:color w:val="131413"/>
          <w:sz w:val="24"/>
          <w:szCs w:val="24"/>
        </w:rPr>
        <w:lastRenderedPageBreak/>
        <w:t>mien cross-slab; a vivid history of burial sites; and tourer projects involving imaginary landscapes. Each of these instances, however, expands the principles of past archaeology and oral module to a measurable distance.</w:t>
      </w:r>
      <w:r w:rsidR="006907C1" w:rsidRPr="006907C1">
        <w:rPr>
          <w:rFonts w:ascii="Garamond" w:hAnsi="Garamond" w:cs="Times New Roman"/>
          <w:color w:val="131413"/>
          <w:sz w:val="24"/>
          <w:szCs w:val="24"/>
        </w:rPr>
        <w:t xml:space="preserve"> </w:t>
      </w:r>
      <w:r w:rsidR="001E38DC" w:rsidRPr="004E5D63">
        <w:rPr>
          <w:rFonts w:ascii="Garamond" w:hAnsi="Garamond" w:cs="Times New Roman"/>
          <w:color w:val="131413"/>
          <w:sz w:val="24"/>
          <w:szCs w:val="24"/>
        </w:rPr>
        <w:fldChar w:fldCharType="begin" w:fldLock="1"/>
      </w:r>
      <w:r w:rsidR="001E38DC" w:rsidRPr="004E5D63">
        <w:rPr>
          <w:rFonts w:ascii="Garamond" w:hAnsi="Garamond" w:cs="Times New Roman"/>
          <w:color w:val="131413"/>
          <w:sz w:val="24"/>
          <w:szCs w:val="24"/>
        </w:rPr>
        <w:instrText>ADDIN CSL_CITATION {"citationItems":[{"id":"ITEM-1","itemData":{"author":[{"dropping-particle":"","family":"Schmidt","given":"P. R","non-dropping-particle":"","parse-names":false,"suffix":""}],"id":"ITEM-1","issued":{"date-parts":[["2006"]]},"publisher":"AltaMira","publisher-place":"New York","title":"Historical Archaeology in Africa: Representation, Social Memory, and Oral Traditions","type":"book"},"uris":["http://www.mendeley.com/documents/?uuid=c290e024-3c36-45f4-95f6-a8fbdb41b825"]}],"mendeley":{"formattedCitation":"(Schmidt, 2006)","plainTextFormattedCitation":"(Schmidt, 2006)","previouslyFormattedCitation":"(Schmidt, 2006)"},"properties":{"noteIndex":0},"schema":"https://github.com/citation-style-language/schema/raw/master/csl-citation.json"}</w:instrText>
      </w:r>
      <w:r w:rsidR="001E38DC" w:rsidRPr="004E5D63">
        <w:rPr>
          <w:rFonts w:ascii="Garamond" w:hAnsi="Garamond" w:cs="Times New Roman"/>
          <w:color w:val="131413"/>
          <w:sz w:val="24"/>
          <w:szCs w:val="24"/>
        </w:rPr>
        <w:fldChar w:fldCharType="separate"/>
      </w:r>
      <w:proofErr w:type="gramStart"/>
      <w:r w:rsidR="001E38DC" w:rsidRPr="004E5D63">
        <w:rPr>
          <w:rFonts w:ascii="Garamond" w:hAnsi="Garamond" w:cs="Times New Roman"/>
          <w:noProof/>
          <w:color w:val="131413"/>
          <w:sz w:val="24"/>
          <w:szCs w:val="24"/>
        </w:rPr>
        <w:t>(Schmidt, 2006)</w:t>
      </w:r>
      <w:r w:rsidR="001E38DC" w:rsidRPr="004E5D63">
        <w:rPr>
          <w:rFonts w:ascii="Garamond" w:hAnsi="Garamond" w:cs="Times New Roman"/>
          <w:color w:val="131413"/>
          <w:sz w:val="24"/>
          <w:szCs w:val="24"/>
        </w:rPr>
        <w:fldChar w:fldCharType="end"/>
      </w:r>
      <w:r w:rsidR="001E38DC" w:rsidRPr="004E5D63">
        <w:rPr>
          <w:rFonts w:ascii="Garamond" w:hAnsi="Garamond" w:cs="Times New Roman"/>
          <w:color w:val="131413"/>
          <w:sz w:val="24"/>
          <w:szCs w:val="24"/>
        </w:rPr>
        <w:t>.</w:t>
      </w:r>
      <w:proofErr w:type="gramEnd"/>
    </w:p>
    <w:p w:rsidR="00490AB4" w:rsidRPr="004E5D63" w:rsidRDefault="00490AB4" w:rsidP="00E41B6E">
      <w:pPr>
        <w:pStyle w:val="ListParagraph"/>
        <w:spacing w:line="240" w:lineRule="auto"/>
        <w:jc w:val="both"/>
        <w:rPr>
          <w:rFonts w:ascii="Garamond" w:hAnsi="Garamond" w:cs="Times New Roman"/>
          <w:b/>
          <w:sz w:val="24"/>
          <w:szCs w:val="24"/>
        </w:rPr>
      </w:pPr>
    </w:p>
    <w:p w:rsidR="005F44DF" w:rsidRDefault="00C02436" w:rsidP="00E41B6E">
      <w:pPr>
        <w:pStyle w:val="ListParagraph"/>
        <w:numPr>
          <w:ilvl w:val="0"/>
          <w:numId w:val="1"/>
        </w:numPr>
        <w:spacing w:line="240" w:lineRule="auto"/>
        <w:ind w:left="720"/>
        <w:jc w:val="both"/>
        <w:rPr>
          <w:rFonts w:ascii="Garamond" w:hAnsi="Garamond" w:cs="Times New Roman"/>
          <w:b/>
          <w:sz w:val="24"/>
          <w:szCs w:val="24"/>
        </w:rPr>
      </w:pPr>
      <w:r w:rsidRPr="004E5D63">
        <w:rPr>
          <w:rFonts w:ascii="Garamond" w:hAnsi="Garamond" w:cs="Times New Roman"/>
          <w:b/>
          <w:sz w:val="24"/>
          <w:szCs w:val="24"/>
        </w:rPr>
        <w:t>Method</w:t>
      </w:r>
    </w:p>
    <w:p w:rsidR="004E5D63" w:rsidRPr="004E5D63" w:rsidRDefault="004E5D63" w:rsidP="004E5D63">
      <w:pPr>
        <w:pStyle w:val="ListParagraph"/>
        <w:spacing w:line="240" w:lineRule="auto"/>
        <w:jc w:val="both"/>
        <w:rPr>
          <w:rFonts w:ascii="Garamond" w:hAnsi="Garamond" w:cs="Times New Roman"/>
          <w:b/>
          <w:sz w:val="24"/>
          <w:szCs w:val="24"/>
        </w:rPr>
      </w:pPr>
    </w:p>
    <w:p w:rsidR="0073550F" w:rsidRPr="004E5D63" w:rsidRDefault="00C02436" w:rsidP="00E41B6E">
      <w:pPr>
        <w:pStyle w:val="ListParagraph"/>
        <w:spacing w:line="240" w:lineRule="auto"/>
        <w:ind w:left="90" w:firstLine="630"/>
        <w:jc w:val="both"/>
        <w:rPr>
          <w:rStyle w:val="fontstyle01"/>
          <w:rFonts w:ascii="Garamond" w:eastAsia="Times New Roman" w:hAnsi="Garamond"/>
          <w:color w:val="222222"/>
          <w:lang w:val="en"/>
        </w:rPr>
      </w:pPr>
      <w:r w:rsidRPr="004E5D63">
        <w:rPr>
          <w:rFonts w:ascii="Garamond" w:eastAsia="Times New Roman" w:hAnsi="Garamond" w:cs="Times New Roman"/>
          <w:color w:val="222222"/>
          <w:sz w:val="24"/>
          <w:szCs w:val="24"/>
          <w:lang w:val="en"/>
        </w:rPr>
        <w:t>Gender Construction in the content analysis</w:t>
      </w:r>
      <w:r w:rsidRPr="004E5D63">
        <w:rPr>
          <w:rFonts w:ascii="Garamond" w:hAnsi="Garamond" w:cs="Times New Roman"/>
          <w:sz w:val="24"/>
          <w:szCs w:val="24"/>
        </w:rPr>
        <w:t xml:space="preserve"> was used for this study. </w:t>
      </w:r>
      <w:r w:rsidR="00824463" w:rsidRPr="004E5D63">
        <w:rPr>
          <w:rStyle w:val="fontstyle01"/>
          <w:rFonts w:ascii="Garamond" w:hAnsi="Garamond"/>
        </w:rPr>
        <w:t>Content analysis has</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focused on observing human behaviors and features of the environment in which the</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 xml:space="preserve">action occurs </w:t>
      </w:r>
      <w:r w:rsidR="00824463" w:rsidRPr="004E5D63">
        <w:rPr>
          <w:rFonts w:ascii="Garamond" w:hAnsi="Garamond" w:cs="Times New Roman"/>
          <w:sz w:val="24"/>
          <w:szCs w:val="24"/>
        </w:rPr>
        <w:t xml:space="preserve"> </w:t>
      </w:r>
      <w:r w:rsidR="001E38DC" w:rsidRPr="004E5D63">
        <w:rPr>
          <w:rFonts w:ascii="Garamond" w:hAnsi="Garamond" w:cs="Times New Roman"/>
          <w:sz w:val="24"/>
          <w:szCs w:val="24"/>
        </w:rPr>
        <w:fldChar w:fldCharType="begin" w:fldLock="1"/>
      </w:r>
      <w:r w:rsidR="001E38DC" w:rsidRPr="004E5D63">
        <w:rPr>
          <w:rFonts w:ascii="Garamond" w:hAnsi="Garamond" w:cs="Times New Roman"/>
          <w:sz w:val="24"/>
          <w:szCs w:val="24"/>
        </w:rPr>
        <w:instrText>ADDIN CSL_CITATION {"citationItems":[{"id":"ITEM-1","itemData":{"author":[{"dropping-particle":"","family":"Borg, M.D., &amp; Ghall","given":"W.R","non-dropping-particle":"","parse-names":false,"suffix":""}],"edition":"8th","id":"ITEM-1","issued":{"date-parts":[["2007"]]},"publisher":"Pearson/Allyn &amp; Bacon","publisher-place":"Boston","title":"Educational Research: an Introduction","type":"book"},"uris":["http://www.mendeley.com/documents/?uuid=676debab-13fd-417c-9920-07d4e813b0cb"]}],"mendeley":{"formattedCitation":"(Borg, M.D., &amp; Ghall, 2007)","plainTextFormattedCitation":"(Borg, M.D., &amp; Ghall, 2007)","previouslyFormattedCitation":"(Borg, M.D., &amp; Ghall, 2007)"},"properties":{"noteIndex":0},"schema":"https://github.com/citation-style-language/schema/raw/master/csl-citation.json"}</w:instrText>
      </w:r>
      <w:r w:rsidR="001E38DC" w:rsidRPr="004E5D63">
        <w:rPr>
          <w:rFonts w:ascii="Garamond" w:hAnsi="Garamond" w:cs="Times New Roman"/>
          <w:sz w:val="24"/>
          <w:szCs w:val="24"/>
        </w:rPr>
        <w:fldChar w:fldCharType="separate"/>
      </w:r>
      <w:r w:rsidR="001E38DC" w:rsidRPr="004E5D63">
        <w:rPr>
          <w:rFonts w:ascii="Garamond" w:hAnsi="Garamond" w:cs="Times New Roman"/>
          <w:noProof/>
          <w:sz w:val="24"/>
          <w:szCs w:val="24"/>
        </w:rPr>
        <w:t>(Borg, M.D., &amp; Ghall, 2007)</w:t>
      </w:r>
      <w:r w:rsidR="001E38DC" w:rsidRPr="004E5D63">
        <w:rPr>
          <w:rFonts w:ascii="Garamond" w:hAnsi="Garamond" w:cs="Times New Roman"/>
          <w:sz w:val="24"/>
          <w:szCs w:val="24"/>
        </w:rPr>
        <w:fldChar w:fldCharType="end"/>
      </w:r>
      <w:r w:rsidR="00824463" w:rsidRPr="004E5D63">
        <w:rPr>
          <w:rStyle w:val="fontstyle01"/>
          <w:rFonts w:ascii="Garamond" w:hAnsi="Garamond"/>
        </w:rPr>
        <w:t>.</w:t>
      </w:r>
      <w:r w:rsidR="00824463" w:rsidRPr="004E5D63">
        <w:rPr>
          <w:rFonts w:ascii="Garamond" w:hAnsi="Garamond" w:cs="Times New Roman"/>
          <w:sz w:val="24"/>
          <w:szCs w:val="24"/>
        </w:rPr>
        <w:t xml:space="preserve"> </w:t>
      </w:r>
      <w:r w:rsidR="00824463" w:rsidRPr="004E5D63">
        <w:rPr>
          <w:rStyle w:val="fontstyle01"/>
          <w:rFonts w:ascii="Garamond" w:hAnsi="Garamond"/>
        </w:rPr>
        <w:t>Gender</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construction can be depicted by the study, which focuses on content analysis</w:t>
      </w:r>
      <w:r w:rsidR="001E38DC" w:rsidRPr="004E5D63">
        <w:rPr>
          <w:rStyle w:val="fontstyle01"/>
          <w:rFonts w:ascii="Garamond" w:hAnsi="Garamond"/>
        </w:rPr>
        <w:t xml:space="preserve"> </w:t>
      </w:r>
      <w:r w:rsidR="001E38DC" w:rsidRPr="004E5D63">
        <w:rPr>
          <w:rStyle w:val="fontstyle01"/>
          <w:rFonts w:ascii="Garamond" w:hAnsi="Garamond"/>
        </w:rPr>
        <w:fldChar w:fldCharType="begin" w:fldLock="1"/>
      </w:r>
      <w:r w:rsidR="001E38DC" w:rsidRPr="004E5D63">
        <w:rPr>
          <w:rStyle w:val="fontstyle01"/>
          <w:rFonts w:ascii="Garamond" w:hAnsi="Garamond"/>
        </w:rPr>
        <w:instrText>ADDIN CSL_CITATION {"citationItems":[{"id":"ITEM-1","itemData":{"author":[{"dropping-particle":"","family":"Craeynest","given":"F.V","non-dropping-particle":"","parse-names":false,"suffix":""}],"id":"ITEM-1","issued":{"date-parts":[["2015"]]},"publisher":"Ghent University, Ghent, Belgium","title":"Gender Representations in EFL Textbooks: a Quantitative and Qualitative Content Analysis","type":"thesis"},"uris":["http://www.mendeley.com/documents/?uuid=f247bafb-ace3-4885-9dbb-3adecaa9d822"]}],"mendeley":{"formattedCitation":"(Craeynest, 2015)","plainTextFormattedCitation":"(Craeynest, 2015)","previouslyFormattedCitation":"(Craeynest, 2015)"},"properties":{"noteIndex":0},"schema":"https://github.com/citation-style-language/schema/raw/master/csl-citation.json"}</w:instrText>
      </w:r>
      <w:r w:rsidR="001E38DC" w:rsidRPr="004E5D63">
        <w:rPr>
          <w:rStyle w:val="fontstyle01"/>
          <w:rFonts w:ascii="Garamond" w:hAnsi="Garamond"/>
        </w:rPr>
        <w:fldChar w:fldCharType="separate"/>
      </w:r>
      <w:r w:rsidR="001E38DC" w:rsidRPr="004E5D63">
        <w:rPr>
          <w:rStyle w:val="fontstyle01"/>
          <w:rFonts w:ascii="Garamond" w:hAnsi="Garamond"/>
          <w:noProof/>
        </w:rPr>
        <w:t>(Craeynest, 2015)</w:t>
      </w:r>
      <w:r w:rsidR="001E38DC" w:rsidRPr="004E5D63">
        <w:rPr>
          <w:rStyle w:val="fontstyle01"/>
          <w:rFonts w:ascii="Garamond" w:hAnsi="Garamond"/>
        </w:rPr>
        <w:fldChar w:fldCharType="end"/>
      </w:r>
      <w:r w:rsidR="00824463" w:rsidRPr="004E5D63">
        <w:rPr>
          <w:rStyle w:val="fontstyle01"/>
          <w:rFonts w:ascii="Garamond" w:hAnsi="Garamond"/>
        </w:rPr>
        <w:t xml:space="preserve">, </w:t>
      </w:r>
      <w:r w:rsidR="001E38DC" w:rsidRPr="004E5D63">
        <w:rPr>
          <w:rStyle w:val="fontstyle01"/>
          <w:rFonts w:ascii="Garamond" w:hAnsi="Garamond"/>
        </w:rPr>
        <w:fldChar w:fldCharType="begin" w:fldLock="1"/>
      </w:r>
      <w:r w:rsidR="001E38DC" w:rsidRPr="004E5D63">
        <w:rPr>
          <w:rStyle w:val="fontstyle01"/>
          <w:rFonts w:ascii="Garamond" w:hAnsi="Garamond"/>
        </w:rPr>
        <w:instrText>ADDIN CSL_CITATION {"citationItems":[{"id":"ITEM-1","itemData":{"author":[{"dropping-particle":"","family":"Sunderland","given":"J","non-dropping-particle":"","parse-names":false,"suffix":""}],"id":"ITEM-1","issued":{"date-parts":[["2006"]]},"publisher":"Routledge","publisher-place":"London and New York","title":"Language and Gender: an Advanced Resource Book","type":"book"},"uris":["http://www.mendeley.com/documents/?uuid=40961a1c-eb38-4d44-a8de-2fdf9b21d26e"]}],"mendeley":{"formattedCitation":"(Sunderland, 2006)","plainTextFormattedCitation":"(Sunderland, 2006)","previouslyFormattedCitation":"(Sunderland, 2006)"},"properties":{"noteIndex":0},"schema":"https://github.com/citation-style-language/schema/raw/master/csl-citation.json"}</w:instrText>
      </w:r>
      <w:r w:rsidR="001E38DC" w:rsidRPr="004E5D63">
        <w:rPr>
          <w:rStyle w:val="fontstyle01"/>
          <w:rFonts w:ascii="Garamond" w:hAnsi="Garamond"/>
        </w:rPr>
        <w:fldChar w:fldCharType="separate"/>
      </w:r>
      <w:r w:rsidR="001E38DC" w:rsidRPr="004E5D63">
        <w:rPr>
          <w:rStyle w:val="fontstyle01"/>
          <w:rFonts w:ascii="Garamond" w:hAnsi="Garamond"/>
          <w:noProof/>
        </w:rPr>
        <w:t>(Sunderland, 2006)</w:t>
      </w:r>
      <w:r w:rsidR="001E38DC" w:rsidRPr="004E5D63">
        <w:rPr>
          <w:rStyle w:val="fontstyle01"/>
          <w:rFonts w:ascii="Garamond" w:hAnsi="Garamond"/>
        </w:rPr>
        <w:fldChar w:fldCharType="end"/>
      </w:r>
      <w:r w:rsidR="00824463" w:rsidRPr="004E5D63">
        <w:rPr>
          <w:rStyle w:val="fontstyle01"/>
          <w:rFonts w:ascii="Garamond" w:hAnsi="Garamond"/>
        </w:rPr>
        <w:t xml:space="preserve">, </w:t>
      </w:r>
      <w:r w:rsidR="001E38DC" w:rsidRPr="004E5D63">
        <w:rPr>
          <w:rStyle w:val="fontstyle01"/>
          <w:rFonts w:ascii="Garamond" w:hAnsi="Garamond"/>
        </w:rPr>
        <w:fldChar w:fldCharType="begin" w:fldLock="1"/>
      </w:r>
      <w:r w:rsidR="001E38DC" w:rsidRPr="004E5D63">
        <w:rPr>
          <w:rStyle w:val="fontstyle01"/>
          <w:rFonts w:ascii="Garamond" w:hAnsi="Garamond"/>
        </w:rPr>
        <w:instrText>ADDIN CSL_CITATION {"citationItems":[{"id":"ITEM-1","itemData":{"DOI":"10.2307/3586137","ISSN":"00398322","abstract":"The paper explores the treatment of women in currently used ESL ma- terials, starting with an analysis of the portrayal of the sexes in current text- books. Some observations are that women are often less visible than men, are often the butt of many jokes and are often placed in stereotypical roles and assigned stereotypical emotional reactions. Illustrations in the books serve to reinforce the biased linguistic patterns previously noted. The paper then proceeds to discuss terms which have been labelled as prejudicial against women by writers who have been analyzing the question of sexism and the English language. Among the points discussed are the use of the word man as both an independent word and as a bound suffix, the generic he, the boy/girl distinction, and titles used to refer to men and women. All features were found to bias the portrayal of women in the texts. A general discussion follows of what the terms \"prescriptive\" and \"de- scriptive\" linguistics mean and whether or not professionals in TESOL should advocate linguistic change. The paper concludes with some suggested changes which can reduce the bias now present in the portrayal of women in ESL materials without sacrificing the overall educational goal of effective and realistic teaching of the English language to non-English speakers","author":[{"dropping-particle":"","family":"Hartman","given":"Pat L.","non-dropping-particle":"","parse-names":false,"suffix":""},{"dropping-particle":"","family":"Judd","given":"Elliot L.","non-dropping-particle":"","parse-names":false,"suffix":""}],"container-title":"TESOL Quarterly","id":"ITEM-1","issue":"4","issued":{"date-parts":[["1978"]]},"page":"383","title":"Sexism and TESOL Materials","type":"article-journal","volume":"12"},"uris":["http://www.mendeley.com/documents/?uuid=ed33ebb4-5d5f-4935-92f9-7c55387be062"]}],"mendeley":{"formattedCitation":"(Hartman &amp; Judd, 1978)","plainTextFormattedCitation":"(Hartman &amp; Judd, 1978)","previouslyFormattedCitation":"(Hartman &amp; Judd, 1978)"},"properties":{"noteIndex":0},"schema":"https://github.com/citation-style-language/schema/raw/master/csl-citation.json"}</w:instrText>
      </w:r>
      <w:r w:rsidR="001E38DC" w:rsidRPr="004E5D63">
        <w:rPr>
          <w:rStyle w:val="fontstyle01"/>
          <w:rFonts w:ascii="Garamond" w:hAnsi="Garamond"/>
        </w:rPr>
        <w:fldChar w:fldCharType="separate"/>
      </w:r>
      <w:r w:rsidR="001E38DC" w:rsidRPr="004E5D63">
        <w:rPr>
          <w:rStyle w:val="fontstyle01"/>
          <w:rFonts w:ascii="Garamond" w:hAnsi="Garamond"/>
          <w:noProof/>
        </w:rPr>
        <w:t>(Hartman &amp; Judd, 1978)</w:t>
      </w:r>
      <w:r w:rsidR="001E38DC" w:rsidRPr="004E5D63">
        <w:rPr>
          <w:rStyle w:val="fontstyle01"/>
          <w:rFonts w:ascii="Garamond" w:hAnsi="Garamond"/>
        </w:rPr>
        <w:fldChar w:fldCharType="end"/>
      </w:r>
      <w:r w:rsidR="00824463" w:rsidRPr="004E5D63">
        <w:rPr>
          <w:rStyle w:val="fontstyle01"/>
          <w:rFonts w:ascii="Garamond" w:hAnsi="Garamond"/>
        </w:rPr>
        <w:t>. People construct their gender status with several signs and signals. It can be from the way</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they dress, speak, walks, gesture, and a</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sex category, then become gender status through naming, dress, and the use of other gender</w:t>
      </w:r>
      <w:r w:rsidR="00824463" w:rsidRPr="004E5D63">
        <w:rPr>
          <w:rFonts w:ascii="Garamond" w:hAnsi="Garamond" w:cs="Times New Roman"/>
          <w:color w:val="000000"/>
          <w:sz w:val="24"/>
          <w:szCs w:val="24"/>
        </w:rPr>
        <w:t xml:space="preserve"> </w:t>
      </w:r>
      <w:r w:rsidR="00824463" w:rsidRPr="004E5D63">
        <w:rPr>
          <w:rStyle w:val="fontstyle01"/>
          <w:rFonts w:ascii="Garamond" w:hAnsi="Garamond"/>
        </w:rPr>
        <w:t>markers</w:t>
      </w:r>
      <w:r w:rsidR="001E38DC" w:rsidRPr="004E5D63">
        <w:rPr>
          <w:rStyle w:val="fontstyle01"/>
          <w:rFonts w:ascii="Garamond" w:hAnsi="Garamond"/>
        </w:rPr>
        <w:fldChar w:fldCharType="begin" w:fldLock="1"/>
      </w:r>
      <w:r w:rsidR="00D10E11" w:rsidRPr="004E5D63">
        <w:rPr>
          <w:rStyle w:val="fontstyle01"/>
          <w:rFonts w:ascii="Garamond" w:hAnsi="Garamond"/>
        </w:rPr>
        <w:instrText>ADDIN CSL_CITATION {"citationItems":[{"id":"ITEM-1","itemData":{"author":[{"dropping-particle":"","family":"Lorber","given":"J.","non-dropping-particle":"","parse-names":false,"suffix":""}],"id":"ITEM-1","issued":{"date-parts":[["1994"]]},"publisher":"SAGE Publication Inc","publisher-place":"London","title":"The Social Construction of Gender","type":"book"},"uris":["http://www.mendeley.com/documents/?uuid=8348726f-ad71-4dcb-894e-36b623ef2255"]}],"mendeley":{"formattedCitation":"(Lorber, 1994)","plainTextFormattedCitation":"(Lorber, 1994)","previouslyFormattedCitation":"(Lorber, 1994)"},"properties":{"noteIndex":0},"schema":"https://github.com/citation-style-language/schema/raw/master/csl-citation.json"}</w:instrText>
      </w:r>
      <w:r w:rsidR="001E38DC" w:rsidRPr="004E5D63">
        <w:rPr>
          <w:rStyle w:val="fontstyle01"/>
          <w:rFonts w:ascii="Garamond" w:hAnsi="Garamond"/>
        </w:rPr>
        <w:fldChar w:fldCharType="separate"/>
      </w:r>
      <w:r w:rsidR="001E38DC" w:rsidRPr="004E5D63">
        <w:rPr>
          <w:rStyle w:val="fontstyle01"/>
          <w:rFonts w:ascii="Garamond" w:hAnsi="Garamond"/>
          <w:noProof/>
        </w:rPr>
        <w:t>(Lorber, 1994)</w:t>
      </w:r>
      <w:r w:rsidR="001E38DC" w:rsidRPr="004E5D63">
        <w:rPr>
          <w:rStyle w:val="fontstyle01"/>
          <w:rFonts w:ascii="Garamond" w:hAnsi="Garamond"/>
        </w:rPr>
        <w:fldChar w:fldCharType="end"/>
      </w:r>
      <w:r w:rsidR="00824463" w:rsidRPr="004E5D63">
        <w:rPr>
          <w:rStyle w:val="fontstyle01"/>
          <w:rFonts w:ascii="Garamond" w:hAnsi="Garamond"/>
        </w:rPr>
        <w:t>.</w:t>
      </w:r>
      <w:r w:rsidRPr="004E5D63">
        <w:rPr>
          <w:rFonts w:ascii="Garamond" w:eastAsia="Times New Roman" w:hAnsi="Garamond" w:cs="Times New Roman"/>
          <w:color w:val="222222"/>
          <w:sz w:val="24"/>
          <w:szCs w:val="24"/>
          <w:lang w:val="en"/>
        </w:rPr>
        <w:t xml:space="preserve"> two hundred selected female parents who have the habits of practicing mixed calling among male and female genders</w:t>
      </w:r>
      <w:r w:rsidR="00B049C8" w:rsidRPr="004E5D63">
        <w:rPr>
          <w:rFonts w:ascii="Garamond" w:eastAsia="Times New Roman" w:hAnsi="Garamond" w:cs="Times New Roman"/>
          <w:color w:val="222222"/>
          <w:sz w:val="24"/>
          <w:szCs w:val="24"/>
          <w:lang w:val="en"/>
        </w:rPr>
        <w:t xml:space="preserve"> w</w:t>
      </w:r>
      <w:r w:rsidRPr="004E5D63">
        <w:rPr>
          <w:rFonts w:ascii="Garamond" w:eastAsia="Times New Roman" w:hAnsi="Garamond" w:cs="Times New Roman"/>
          <w:color w:val="222222"/>
          <w:sz w:val="24"/>
          <w:szCs w:val="24"/>
          <w:lang w:val="en"/>
        </w:rPr>
        <w:t>ere the respondents of this research</w:t>
      </w:r>
      <w:r w:rsidR="00E26103" w:rsidRPr="004E5D63">
        <w:rPr>
          <w:rFonts w:ascii="Garamond" w:eastAsia="Times New Roman" w:hAnsi="Garamond" w:cs="Times New Roman"/>
          <w:color w:val="222222"/>
          <w:sz w:val="24"/>
          <w:szCs w:val="24"/>
          <w:lang w:val="en"/>
        </w:rPr>
        <w:t xml:space="preserve"> based on self-selection. The Data were collected using interview</w:t>
      </w:r>
      <w:r w:rsidR="00233399" w:rsidRPr="004E5D63">
        <w:rPr>
          <w:rFonts w:ascii="Garamond" w:eastAsia="Times New Roman" w:hAnsi="Garamond" w:cs="Times New Roman"/>
          <w:color w:val="222222"/>
          <w:sz w:val="24"/>
          <w:szCs w:val="24"/>
          <w:lang w:val="en"/>
        </w:rPr>
        <w:t>s and</w:t>
      </w:r>
      <w:r w:rsidR="00E26103" w:rsidRPr="004E5D63">
        <w:rPr>
          <w:rFonts w:ascii="Garamond" w:eastAsia="Times New Roman" w:hAnsi="Garamond" w:cs="Times New Roman"/>
          <w:color w:val="222222"/>
          <w:sz w:val="24"/>
          <w:szCs w:val="24"/>
          <w:lang w:val="en"/>
        </w:rPr>
        <w:t xml:space="preserve"> recordings that were carried out through online discussion within two weeks during female parental activities of the home financial industry [PKK] in Blitar.</w:t>
      </w:r>
      <w:r w:rsidR="001E2118" w:rsidRPr="004E5D63">
        <w:rPr>
          <w:rFonts w:ascii="Garamond" w:hAnsi="Garamond" w:cs="Times New Roman"/>
          <w:sz w:val="24"/>
          <w:szCs w:val="24"/>
        </w:rPr>
        <w:t xml:space="preserve"> </w:t>
      </w:r>
      <w:r w:rsidR="001E2118" w:rsidRPr="004E5D63">
        <w:rPr>
          <w:rStyle w:val="fontstyle01"/>
          <w:rFonts w:ascii="Garamond" w:hAnsi="Garamond"/>
        </w:rPr>
        <w:t>Data analysis of this content analysis study is based on</w:t>
      </w:r>
      <w:r w:rsidR="001E2118" w:rsidRPr="004E5D63">
        <w:rPr>
          <w:rFonts w:ascii="Garamond" w:hAnsi="Garamond" w:cs="Times New Roman"/>
          <w:color w:val="000000"/>
          <w:sz w:val="24"/>
          <w:szCs w:val="24"/>
        </w:rPr>
        <w:t xml:space="preserve"> </w:t>
      </w:r>
      <w:r w:rsidR="00D10E11" w:rsidRPr="004E5D63">
        <w:rPr>
          <w:rFonts w:ascii="Garamond" w:hAnsi="Garamond" w:cs="Times New Roman"/>
          <w:color w:val="000000"/>
          <w:sz w:val="24"/>
          <w:szCs w:val="24"/>
        </w:rPr>
        <w:fldChar w:fldCharType="begin" w:fldLock="1"/>
      </w:r>
      <w:r w:rsidR="00D10E11" w:rsidRPr="004E5D63">
        <w:rPr>
          <w:rFonts w:ascii="Garamond" w:hAnsi="Garamond" w:cs="Times New Roman"/>
          <w:color w:val="000000"/>
          <w:sz w:val="24"/>
          <w:szCs w:val="24"/>
        </w:rPr>
        <w:instrText>ADDIN CSL_CITATION {"citationItems":[{"id":"ITEM-1","itemData":{"author":[{"dropping-particle":"","family":"Klaus Krippendorff","given":"","non-dropping-particle":"","parse-names":false,"suffix":""}],"id":"ITEM-1","issued":{"date-parts":[["2004"]]},"publisher":"SAGE Publication Inc","publisher-place":"London","title":"Content Analysis An Introduction to its Methodology","type":"book"},"uris":["http://www.mendeley.com/documents/?uuid=ddfe0a10-55d5-4735-9f1d-f1c8bf51f0cb"]}],"mendeley":{"formattedCitation":"(Klaus Krippendorff, 2004)","plainTextFormattedCitation":"(Klaus Krippendorff, 2004)","previouslyFormattedCitation":"(Klaus Krippendorff, 2004)"},"properties":{"noteIndex":0},"schema":"https://github.com/citation-style-language/schema/raw/master/csl-citation.json"}</w:instrText>
      </w:r>
      <w:r w:rsidR="00D10E11" w:rsidRPr="004E5D63">
        <w:rPr>
          <w:rFonts w:ascii="Garamond" w:hAnsi="Garamond" w:cs="Times New Roman"/>
          <w:color w:val="000000"/>
          <w:sz w:val="24"/>
          <w:szCs w:val="24"/>
        </w:rPr>
        <w:fldChar w:fldCharType="separate"/>
      </w:r>
      <w:r w:rsidR="00D10E11" w:rsidRPr="004E5D63">
        <w:rPr>
          <w:rFonts w:ascii="Garamond" w:hAnsi="Garamond" w:cs="Times New Roman"/>
          <w:noProof/>
          <w:color w:val="000000"/>
          <w:sz w:val="24"/>
          <w:szCs w:val="24"/>
        </w:rPr>
        <w:t>(Klaus Krippendorff, 2004)</w:t>
      </w:r>
      <w:r w:rsidR="00D10E11" w:rsidRPr="004E5D63">
        <w:rPr>
          <w:rFonts w:ascii="Garamond" w:hAnsi="Garamond" w:cs="Times New Roman"/>
          <w:color w:val="000000"/>
          <w:sz w:val="24"/>
          <w:szCs w:val="24"/>
        </w:rPr>
        <w:fldChar w:fldCharType="end"/>
      </w:r>
      <w:r w:rsidR="001E2118" w:rsidRPr="004E5D63">
        <w:rPr>
          <w:rStyle w:val="fontstyle01"/>
          <w:rFonts w:ascii="Garamond" w:hAnsi="Garamond"/>
        </w:rPr>
        <w:t>, which is divided into three stages, as follows:</w:t>
      </w:r>
    </w:p>
    <w:p w:rsidR="00592B27" w:rsidRPr="004E5D63" w:rsidRDefault="00592B27" w:rsidP="00E41B6E">
      <w:pPr>
        <w:pStyle w:val="ListParagraph"/>
        <w:spacing w:line="240" w:lineRule="auto"/>
        <w:ind w:left="90"/>
        <w:rPr>
          <w:rStyle w:val="fontstyle01"/>
          <w:rFonts w:ascii="Garamond" w:hAnsi="Garamond"/>
        </w:rPr>
      </w:pPr>
    </w:p>
    <w:p w:rsidR="00592B27" w:rsidRPr="004E5D63" w:rsidRDefault="00C02436" w:rsidP="00E41B6E">
      <w:pPr>
        <w:pStyle w:val="ListParagraph"/>
        <w:spacing w:line="240" w:lineRule="auto"/>
        <w:ind w:left="90"/>
        <w:rPr>
          <w:rFonts w:ascii="Garamond" w:hAnsi="Garamond" w:cs="Times New Roman"/>
          <w:b/>
          <w:sz w:val="24"/>
          <w:szCs w:val="24"/>
        </w:rPr>
      </w:pPr>
      <w:r w:rsidRPr="004E5D63">
        <w:rPr>
          <w:rFonts w:ascii="Garamond" w:hAnsi="Garamond" w:cs="Times New Roman"/>
          <w:noProof/>
          <w:sz w:val="24"/>
          <w:szCs w:val="24"/>
        </w:rPr>
        <mc:AlternateContent>
          <mc:Choice Requires="wps">
            <w:drawing>
              <wp:anchor distT="0" distB="0" distL="114300" distR="114300" simplePos="0" relativeHeight="251658240" behindDoc="0" locked="0" layoutInCell="1" allowOverlap="1" wp14:anchorId="2B50AA56" wp14:editId="50A36262">
                <wp:simplePos x="0" y="0"/>
                <wp:positionH relativeFrom="column">
                  <wp:posOffset>2013464</wp:posOffset>
                </wp:positionH>
                <wp:positionV relativeFrom="paragraph">
                  <wp:posOffset>27305</wp:posOffset>
                </wp:positionV>
                <wp:extent cx="1517515" cy="350196"/>
                <wp:effectExtent l="0" t="0" r="2603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515" cy="350196"/>
                        </a:xfrm>
                        <a:prstGeom prst="rect">
                          <a:avLst/>
                        </a:prstGeom>
                        <a:solidFill>
                          <a:srgbClr val="FFFFFF"/>
                        </a:solidFill>
                        <a:ln w="9525">
                          <a:solidFill>
                            <a:srgbClr val="000000"/>
                          </a:solidFill>
                          <a:miter lim="800000"/>
                          <a:headEnd/>
                          <a:tailEnd/>
                        </a:ln>
                      </wps:spPr>
                      <wps:txbx>
                        <w:txbxContent>
                          <w:p w:rsidR="00592B27" w:rsidRPr="00592B27" w:rsidRDefault="00C02436" w:rsidP="00592B27">
                            <w:pPr>
                              <w:spacing w:after="0" w:line="240" w:lineRule="auto"/>
                              <w:jc w:val="center"/>
                              <w:rPr>
                                <w:rFonts w:ascii="Times New Roman" w:eastAsia="Times New Roman" w:hAnsi="Times New Roman" w:cs="Times New Roman"/>
                                <w:sz w:val="24"/>
                                <w:szCs w:val="24"/>
                              </w:rPr>
                            </w:pPr>
                            <w:r w:rsidRPr="00592B27">
                              <w:rPr>
                                <w:rFonts w:ascii="Times New Roman" w:eastAsia="Times New Roman" w:hAnsi="Times New Roman" w:cs="Times New Roman"/>
                                <w:color w:val="000000"/>
                                <w:sz w:val="24"/>
                                <w:szCs w:val="24"/>
                              </w:rPr>
                              <w:t>Analysis Units</w:t>
                            </w:r>
                          </w:p>
                          <w:p w:rsidR="00592B27" w:rsidRDefault="00592B2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5" type="#_x0000_t202" style="width:119.5pt;height:27.55pt;margin-top:2.15pt;margin-left:158.5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92B27" w:rsidRPr="00592B27" w:rsidP="00592B27">
                      <w:pPr>
                        <w:spacing w:after="0" w:line="240" w:lineRule="auto"/>
                        <w:jc w:val="center"/>
                        <w:rPr>
                          <w:rFonts w:ascii="Times New Roman" w:eastAsia="Times New Roman" w:hAnsi="Times New Roman" w:cs="Times New Roman"/>
                          <w:sz w:val="24"/>
                          <w:szCs w:val="24"/>
                        </w:rPr>
                      </w:pPr>
                      <w:r w:rsidRPr="00592B27">
                        <w:rPr>
                          <w:rFonts w:ascii="Times New Roman" w:eastAsia="Times New Roman" w:hAnsi="Times New Roman" w:cs="Times New Roman"/>
                          <w:color w:val="000000"/>
                          <w:sz w:val="24"/>
                          <w:szCs w:val="24"/>
                        </w:rPr>
                        <w:t>Analysis Units</w:t>
                      </w:r>
                    </w:p>
                    <w:p w:rsidR="00592B27"/>
                  </w:txbxContent>
                </v:textbox>
              </v:shape>
            </w:pict>
          </mc:Fallback>
        </mc:AlternateContent>
      </w:r>
    </w:p>
    <w:p w:rsidR="00592B27" w:rsidRPr="004E5D63" w:rsidRDefault="00592B27" w:rsidP="00E41B6E">
      <w:pPr>
        <w:pStyle w:val="ListParagraph"/>
        <w:spacing w:line="240" w:lineRule="auto"/>
        <w:ind w:left="90"/>
        <w:rPr>
          <w:rFonts w:ascii="Garamond" w:hAnsi="Garamond" w:cs="Times New Roman"/>
          <w:b/>
          <w:sz w:val="24"/>
          <w:szCs w:val="24"/>
        </w:rPr>
      </w:pPr>
    </w:p>
    <w:p w:rsidR="00592B27" w:rsidRPr="004E5D63" w:rsidRDefault="00592B27" w:rsidP="00E41B6E">
      <w:pPr>
        <w:pStyle w:val="ListParagraph"/>
        <w:spacing w:line="240" w:lineRule="auto"/>
        <w:ind w:left="90"/>
        <w:rPr>
          <w:rFonts w:ascii="Garamond" w:hAnsi="Garamond" w:cs="Times New Roman"/>
          <w:b/>
          <w:sz w:val="24"/>
          <w:szCs w:val="24"/>
        </w:rPr>
      </w:pPr>
    </w:p>
    <w:p w:rsidR="00592B27" w:rsidRPr="004E5D63" w:rsidRDefault="00C02436" w:rsidP="00E41B6E">
      <w:pPr>
        <w:pStyle w:val="ListParagraph"/>
        <w:spacing w:line="240" w:lineRule="auto"/>
        <w:ind w:left="90"/>
        <w:rPr>
          <w:rFonts w:ascii="Garamond" w:hAnsi="Garamond" w:cs="Times New Roman"/>
          <w:b/>
          <w:sz w:val="24"/>
          <w:szCs w:val="24"/>
        </w:rPr>
      </w:pPr>
      <w:r w:rsidRPr="004E5D63">
        <w:rPr>
          <w:rFonts w:ascii="Garamond" w:hAnsi="Garamond" w:cs="Times New Roman"/>
          <w:noProof/>
          <w:sz w:val="24"/>
          <w:szCs w:val="24"/>
        </w:rPr>
        <mc:AlternateContent>
          <mc:Choice Requires="wps">
            <w:drawing>
              <wp:anchor distT="0" distB="0" distL="114300" distR="114300" simplePos="0" relativeHeight="251664384" behindDoc="0" locked="0" layoutInCell="1" allowOverlap="1" wp14:anchorId="27022BD6" wp14:editId="1958693E">
                <wp:simplePos x="0" y="0"/>
                <wp:positionH relativeFrom="column">
                  <wp:posOffset>4373245</wp:posOffset>
                </wp:positionH>
                <wp:positionV relativeFrom="paragraph">
                  <wp:posOffset>156210</wp:posOffset>
                </wp:positionV>
                <wp:extent cx="1517015" cy="349885"/>
                <wp:effectExtent l="0" t="0" r="2603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349885"/>
                        </a:xfrm>
                        <a:prstGeom prst="rect">
                          <a:avLst/>
                        </a:prstGeom>
                        <a:solidFill>
                          <a:srgbClr val="FFFFFF"/>
                        </a:solidFill>
                        <a:ln w="9525">
                          <a:solidFill>
                            <a:srgbClr val="000000"/>
                          </a:solidFill>
                          <a:miter lim="800000"/>
                          <a:headEnd/>
                          <a:tailEnd/>
                        </a:ln>
                      </wps:spPr>
                      <wps:txbx>
                        <w:txbxContent>
                          <w:p w:rsidR="00592B27" w:rsidRPr="00592B27" w:rsidRDefault="00C02436" w:rsidP="00592B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Context Units</w:t>
                            </w:r>
                          </w:p>
                          <w:p w:rsidR="00592B27" w:rsidRDefault="00592B27" w:rsidP="00592B2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type="#_x0000_t202" style="width:119.45pt;height:27.55pt;margin-top:12.3pt;margin-left:344.35pt;mso-height-percent:0;mso-height-relative:margin;mso-width-percent:0;mso-width-relative:margin;mso-wrap-distance-bottom:0;mso-wrap-distance-left:9pt;mso-wrap-distance-right:9pt;mso-wrap-distance-top:0;mso-wrap-style:square;position:absolute;visibility:visible;v-text-anchor:top;z-index:251665408">
                <v:textbox>
                  <w:txbxContent>
                    <w:p w:rsidR="00592B27" w:rsidRPr="00592B27" w:rsidP="00592B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Context Units</w:t>
                      </w:r>
                    </w:p>
                    <w:p w:rsidR="00592B27" w:rsidP="00592B27"/>
                  </w:txbxContent>
                </v:textbox>
              </v:shape>
            </w:pict>
          </mc:Fallback>
        </mc:AlternateContent>
      </w:r>
      <w:r w:rsidRPr="004E5D63">
        <w:rPr>
          <w:rFonts w:ascii="Garamond" w:hAnsi="Garamond" w:cs="Times New Roman"/>
          <w:noProof/>
          <w:sz w:val="24"/>
          <w:szCs w:val="24"/>
        </w:rPr>
        <mc:AlternateContent>
          <mc:Choice Requires="wps">
            <w:drawing>
              <wp:anchor distT="0" distB="0" distL="114300" distR="114300" simplePos="0" relativeHeight="251662336" behindDoc="0" locked="0" layoutInCell="1" allowOverlap="1" wp14:anchorId="6FCA2159" wp14:editId="386E4B85">
                <wp:simplePos x="0" y="0"/>
                <wp:positionH relativeFrom="column">
                  <wp:posOffset>2028190</wp:posOffset>
                </wp:positionH>
                <wp:positionV relativeFrom="paragraph">
                  <wp:posOffset>156210</wp:posOffset>
                </wp:positionV>
                <wp:extent cx="1517015" cy="349885"/>
                <wp:effectExtent l="0" t="0" r="2603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349885"/>
                        </a:xfrm>
                        <a:prstGeom prst="rect">
                          <a:avLst/>
                        </a:prstGeom>
                        <a:solidFill>
                          <a:srgbClr val="FFFFFF"/>
                        </a:solidFill>
                        <a:ln w="9525">
                          <a:solidFill>
                            <a:srgbClr val="000000"/>
                          </a:solidFill>
                          <a:miter lim="800000"/>
                          <a:headEnd/>
                          <a:tailEnd/>
                        </a:ln>
                      </wps:spPr>
                      <wps:txbx>
                        <w:txbxContent>
                          <w:p w:rsidR="00592B27" w:rsidRPr="00592B27" w:rsidRDefault="00C02436" w:rsidP="00592B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Recording Units</w:t>
                            </w:r>
                          </w:p>
                          <w:p w:rsidR="00592B27" w:rsidRDefault="00592B27" w:rsidP="00592B2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width:119.45pt;height:27.55pt;margin-top:12.3pt;margin-left:159.7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592B27" w:rsidRPr="00592B27" w:rsidP="00592B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Recording Units</w:t>
                      </w:r>
                    </w:p>
                    <w:p w:rsidR="00592B27" w:rsidP="00592B27"/>
                  </w:txbxContent>
                </v:textbox>
              </v:shape>
            </w:pict>
          </mc:Fallback>
        </mc:AlternateContent>
      </w:r>
      <w:r w:rsidRPr="004E5D63">
        <w:rPr>
          <w:rFonts w:ascii="Garamond" w:hAnsi="Garamond" w:cs="Times New Roman"/>
          <w:noProof/>
          <w:sz w:val="24"/>
          <w:szCs w:val="24"/>
        </w:rPr>
        <mc:AlternateContent>
          <mc:Choice Requires="wps">
            <w:drawing>
              <wp:anchor distT="0" distB="0" distL="114300" distR="114300" simplePos="0" relativeHeight="251660288" behindDoc="0" locked="0" layoutInCell="1" allowOverlap="1" wp14:anchorId="7A53EE47" wp14:editId="00E90625">
                <wp:simplePos x="0" y="0"/>
                <wp:positionH relativeFrom="column">
                  <wp:posOffset>-62284</wp:posOffset>
                </wp:positionH>
                <wp:positionV relativeFrom="paragraph">
                  <wp:posOffset>156561</wp:posOffset>
                </wp:positionV>
                <wp:extent cx="1517515" cy="350196"/>
                <wp:effectExtent l="0" t="0" r="2603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515" cy="350196"/>
                        </a:xfrm>
                        <a:prstGeom prst="rect">
                          <a:avLst/>
                        </a:prstGeom>
                        <a:solidFill>
                          <a:srgbClr val="FFFFFF"/>
                        </a:solidFill>
                        <a:ln w="9525">
                          <a:solidFill>
                            <a:srgbClr val="000000"/>
                          </a:solidFill>
                          <a:miter lim="800000"/>
                          <a:headEnd/>
                          <a:tailEnd/>
                        </a:ln>
                      </wps:spPr>
                      <wps:txbx>
                        <w:txbxContent>
                          <w:p w:rsidR="00592B27" w:rsidRPr="003B0073" w:rsidRDefault="00C02436" w:rsidP="003B0073">
                            <w:pPr>
                              <w:pStyle w:val="ListParagraph"/>
                              <w:numPr>
                                <w:ilvl w:val="0"/>
                                <w:numId w:val="2"/>
                              </w:numPr>
                              <w:tabs>
                                <w:tab w:val="left" w:pos="180"/>
                                <w:tab w:val="left" w:pos="450"/>
                              </w:tabs>
                              <w:spacing w:after="0" w:line="240" w:lineRule="auto"/>
                              <w:ind w:lef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Units</w:t>
                            </w:r>
                          </w:p>
                          <w:p w:rsidR="00592B27" w:rsidRDefault="00592B27" w:rsidP="00592B2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width:119.5pt;height:27.55pt;margin-top:12.35pt;margin-left:-4.9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592B27" w:rsidRPr="003B0073" w:rsidP="003B0073">
                      <w:pPr>
                        <w:pStyle w:val="ListParagraph"/>
                        <w:numPr>
                          <w:ilvl w:val="0"/>
                          <w:numId w:val="2"/>
                        </w:numPr>
                        <w:tabs>
                          <w:tab w:val="left" w:pos="180"/>
                          <w:tab w:val="left" w:pos="450"/>
                        </w:tabs>
                        <w:spacing w:after="0" w:line="240" w:lineRule="auto"/>
                        <w:ind w:left="9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Units</w:t>
                      </w:r>
                    </w:p>
                    <w:p w:rsidR="00592B27" w:rsidP="00592B27"/>
                  </w:txbxContent>
                </v:textbox>
              </v:shape>
            </w:pict>
          </mc:Fallback>
        </mc:AlternateContent>
      </w:r>
    </w:p>
    <w:p w:rsidR="00592B27" w:rsidRPr="004E5D63" w:rsidRDefault="00592B27" w:rsidP="00E41B6E">
      <w:pPr>
        <w:pStyle w:val="ListParagraph"/>
        <w:spacing w:line="240" w:lineRule="auto"/>
        <w:ind w:left="90"/>
        <w:rPr>
          <w:rFonts w:ascii="Garamond" w:hAnsi="Garamond" w:cs="Times New Roman"/>
          <w:b/>
          <w:sz w:val="24"/>
          <w:szCs w:val="24"/>
        </w:rPr>
      </w:pPr>
    </w:p>
    <w:p w:rsidR="00592B27" w:rsidRPr="004E5D63" w:rsidRDefault="00592B27" w:rsidP="00E41B6E">
      <w:pPr>
        <w:pStyle w:val="ListParagraph"/>
        <w:spacing w:line="240" w:lineRule="auto"/>
        <w:ind w:left="90"/>
        <w:rPr>
          <w:rFonts w:ascii="Garamond" w:hAnsi="Garamond" w:cs="Times New Roman"/>
          <w:b/>
          <w:sz w:val="24"/>
          <w:szCs w:val="24"/>
        </w:rPr>
      </w:pPr>
    </w:p>
    <w:p w:rsidR="00592B27" w:rsidRPr="004E5D63" w:rsidRDefault="00592B27" w:rsidP="00E41B6E">
      <w:pPr>
        <w:pStyle w:val="ListParagraph"/>
        <w:spacing w:line="240" w:lineRule="auto"/>
        <w:ind w:left="90"/>
        <w:rPr>
          <w:rFonts w:ascii="Garamond" w:hAnsi="Garamond" w:cs="Times New Roman"/>
          <w:b/>
          <w:sz w:val="24"/>
          <w:szCs w:val="24"/>
        </w:rPr>
      </w:pPr>
    </w:p>
    <w:p w:rsidR="00592B27" w:rsidRDefault="00C02436" w:rsidP="00E41B6E">
      <w:pPr>
        <w:pStyle w:val="ListParagraph"/>
        <w:spacing w:line="240" w:lineRule="auto"/>
        <w:ind w:left="90"/>
        <w:rPr>
          <w:rFonts w:ascii="Garamond" w:hAnsi="Garamond" w:cs="Times New Roman"/>
          <w:color w:val="000000"/>
          <w:sz w:val="24"/>
          <w:szCs w:val="24"/>
        </w:rPr>
      </w:pPr>
      <w:r w:rsidRPr="004E5D63">
        <w:rPr>
          <w:rFonts w:ascii="Garamond" w:hAnsi="Garamond" w:cs="Times New Roman"/>
          <w:b/>
          <w:bCs/>
          <w:color w:val="000000"/>
          <w:sz w:val="24"/>
          <w:szCs w:val="24"/>
        </w:rPr>
        <w:t>Figure 1. Unit Analysis for Content Analysis</w:t>
      </w:r>
      <w:r w:rsidRPr="004E5D63">
        <w:rPr>
          <w:rFonts w:ascii="Garamond" w:hAnsi="Garamond" w:cs="Times New Roman"/>
          <w:b/>
          <w:bCs/>
          <w:color w:val="000000"/>
          <w:sz w:val="24"/>
          <w:szCs w:val="24"/>
        </w:rPr>
        <w:br/>
      </w:r>
      <w:r w:rsidRPr="004E5D63">
        <w:rPr>
          <w:rFonts w:ascii="Garamond" w:hAnsi="Garamond" w:cs="Times New Roman"/>
          <w:color w:val="000000"/>
          <w:sz w:val="24"/>
          <w:szCs w:val="24"/>
        </w:rPr>
        <w:t>Source: Erianto, (2013, 63)</w:t>
      </w:r>
    </w:p>
    <w:p w:rsidR="004E5D63" w:rsidRPr="004E5D63" w:rsidRDefault="004E5D63" w:rsidP="00E41B6E">
      <w:pPr>
        <w:pStyle w:val="ListParagraph"/>
        <w:spacing w:line="240" w:lineRule="auto"/>
        <w:ind w:left="90"/>
        <w:rPr>
          <w:rFonts w:ascii="Garamond" w:hAnsi="Garamond" w:cs="Times New Roman"/>
          <w:color w:val="000000"/>
          <w:sz w:val="24"/>
          <w:szCs w:val="24"/>
        </w:rPr>
      </w:pPr>
    </w:p>
    <w:p w:rsidR="001E2118" w:rsidRPr="004E5D63" w:rsidRDefault="00C02436" w:rsidP="00E41B6E">
      <w:pPr>
        <w:pStyle w:val="ListParagraph"/>
        <w:spacing w:line="240" w:lineRule="auto"/>
        <w:ind w:left="90" w:firstLine="630"/>
        <w:jc w:val="both"/>
        <w:rPr>
          <w:rFonts w:ascii="Garamond" w:hAnsi="Garamond" w:cs="Times New Roman"/>
          <w:b/>
          <w:noProof/>
          <w:sz w:val="24"/>
          <w:szCs w:val="24"/>
        </w:rPr>
      </w:pPr>
      <w:r w:rsidRPr="004E5D63">
        <w:rPr>
          <w:rFonts w:ascii="Garamond" w:hAnsi="Garamond" w:cs="Times New Roman"/>
          <w:color w:val="000000"/>
          <w:sz w:val="24"/>
          <w:szCs w:val="24"/>
        </w:rPr>
        <w:t xml:space="preserve">First, </w:t>
      </w:r>
      <w:r w:rsidR="003B0073" w:rsidRPr="004E5D63">
        <w:rPr>
          <w:rFonts w:ascii="Garamond" w:hAnsi="Garamond" w:cs="Times New Roman"/>
          <w:color w:val="000000"/>
          <w:sz w:val="24"/>
          <w:szCs w:val="24"/>
        </w:rPr>
        <w:t>Sampling units</w:t>
      </w:r>
      <w:r w:rsidRPr="004E5D63">
        <w:rPr>
          <w:rFonts w:ascii="Garamond" w:hAnsi="Garamond" w:cs="Times New Roman"/>
          <w:color w:val="000000"/>
          <w:sz w:val="24"/>
          <w:szCs w:val="24"/>
        </w:rPr>
        <w:t xml:space="preserve"> are</w:t>
      </w:r>
      <w:r w:rsidR="003B0073" w:rsidRPr="004E5D63">
        <w:rPr>
          <w:rStyle w:val="fontstyle01"/>
          <w:rFonts w:ascii="Garamond" w:hAnsi="Garamond"/>
        </w:rPr>
        <w:t xml:space="preserve"> the content of what will be studied, and the content of what is not</w:t>
      </w:r>
      <w:r w:rsidR="00C3663A" w:rsidRPr="004E5D63">
        <w:rPr>
          <w:rFonts w:ascii="Garamond" w:hAnsi="Garamond" w:cs="Times New Roman"/>
          <w:color w:val="000000"/>
          <w:sz w:val="24"/>
          <w:szCs w:val="24"/>
        </w:rPr>
        <w:t xml:space="preserve"> </w:t>
      </w:r>
      <w:r w:rsidR="003B0073" w:rsidRPr="004E5D63">
        <w:rPr>
          <w:rStyle w:val="fontstyle01"/>
          <w:rFonts w:ascii="Garamond" w:hAnsi="Garamond"/>
        </w:rPr>
        <w:t>included in the consideration, and henceforth will not be examined</w:t>
      </w:r>
      <w:r w:rsidR="00D10E11" w:rsidRPr="004E5D63">
        <w:rPr>
          <w:rStyle w:val="fontstyle01"/>
          <w:rFonts w:ascii="Garamond" w:hAnsi="Garamond"/>
        </w:rPr>
        <w:fldChar w:fldCharType="begin" w:fldLock="1"/>
      </w:r>
      <w:r w:rsidR="00D10E11" w:rsidRPr="004E5D63">
        <w:rPr>
          <w:rStyle w:val="fontstyle01"/>
          <w:rFonts w:ascii="Garamond" w:hAnsi="Garamond"/>
        </w:rPr>
        <w:instrText>ADDIN CSL_CITATION {"citationItems":[{"id":"ITEM-1","itemData":{"author":[{"dropping-particle":"","family":"Eriyanto","given":"","non-dropping-particle":"","parse-names":false,"suffix":""}],"id":"ITEM-1","issued":{"date-parts":[["2013"]]},"publisher":"LKIS","title":"Deskripsi Analisis Wacana, Pengantar Analisis Teks Media","type":"book"},"uris":["http://www.mendeley.com/documents/?uuid=ab2b7e77-a4cc-42ef-9cde-28e9cacda524"]}],"mendeley":{"formattedCitation":"(Eriyanto, 2013)","plainTextFormattedCitation":"(Eriyanto, 2013)","previouslyFormattedCitation":"(Eriyanto, 2013)"},"properties":{"noteIndex":0},"schema":"https://github.com/citation-style-language/schema/raw/master/csl-citation.json"}</w:instrText>
      </w:r>
      <w:r w:rsidR="00D10E11" w:rsidRPr="004E5D63">
        <w:rPr>
          <w:rStyle w:val="fontstyle01"/>
          <w:rFonts w:ascii="Garamond" w:hAnsi="Garamond"/>
        </w:rPr>
        <w:fldChar w:fldCharType="separate"/>
      </w:r>
      <w:r w:rsidR="00D10E11" w:rsidRPr="004E5D63">
        <w:rPr>
          <w:rStyle w:val="fontstyle01"/>
          <w:rFonts w:ascii="Garamond" w:hAnsi="Garamond"/>
          <w:noProof/>
        </w:rPr>
        <w:t>(Eriyanto, 2013)</w:t>
      </w:r>
      <w:r w:rsidR="00D10E11" w:rsidRPr="004E5D63">
        <w:rPr>
          <w:rStyle w:val="fontstyle01"/>
          <w:rFonts w:ascii="Garamond" w:hAnsi="Garamond"/>
        </w:rPr>
        <w:fldChar w:fldCharType="end"/>
      </w:r>
      <w:r w:rsidR="003B0073" w:rsidRPr="004E5D63">
        <w:rPr>
          <w:rStyle w:val="fontstyle01"/>
          <w:rFonts w:ascii="Garamond" w:hAnsi="Garamond"/>
        </w:rPr>
        <w:t xml:space="preserve">. The samples of this study are </w:t>
      </w:r>
      <w:r w:rsidR="00511CE3" w:rsidRPr="004E5D63">
        <w:rPr>
          <w:rFonts w:ascii="Garamond" w:eastAsia="Times New Roman" w:hAnsi="Garamond" w:cs="Times New Roman"/>
          <w:color w:val="222222"/>
          <w:sz w:val="24"/>
          <w:szCs w:val="24"/>
          <w:lang w:val="en"/>
        </w:rPr>
        <w:t xml:space="preserve">practicing mixed calling among male and female genders from </w:t>
      </w:r>
      <w:r w:rsidR="003B0073" w:rsidRPr="004E5D63">
        <w:rPr>
          <w:rFonts w:ascii="Garamond" w:eastAsia="Times New Roman" w:hAnsi="Garamond" w:cs="Times New Roman"/>
          <w:color w:val="222222"/>
          <w:sz w:val="24"/>
          <w:szCs w:val="24"/>
          <w:lang w:val="en"/>
        </w:rPr>
        <w:t xml:space="preserve">two hundred selected female parents. They </w:t>
      </w:r>
      <w:r w:rsidR="007C4288" w:rsidRPr="004E5D63">
        <w:rPr>
          <w:rFonts w:ascii="Garamond" w:eastAsia="Times New Roman" w:hAnsi="Garamond" w:cs="Times New Roman"/>
          <w:color w:val="222222"/>
          <w:sz w:val="24"/>
          <w:szCs w:val="24"/>
          <w:lang w:val="en"/>
        </w:rPr>
        <w:t xml:space="preserve">will be identified </w:t>
      </w:r>
      <w:r w:rsidR="00B9509F" w:rsidRPr="004E5D63">
        <w:rPr>
          <w:rFonts w:ascii="Garamond" w:eastAsia="Times New Roman" w:hAnsi="Garamond" w:cs="Times New Roman"/>
          <w:color w:val="222222"/>
          <w:sz w:val="24"/>
          <w:szCs w:val="24"/>
          <w:lang w:val="en"/>
        </w:rPr>
        <w:t>according to</w:t>
      </w:r>
      <w:r w:rsidR="00511CE3" w:rsidRPr="004E5D63">
        <w:rPr>
          <w:rFonts w:ascii="Garamond" w:eastAsia="Times New Roman" w:hAnsi="Garamond" w:cs="Times New Roman"/>
          <w:color w:val="222222"/>
          <w:sz w:val="24"/>
          <w:szCs w:val="24"/>
          <w:lang w:val="en"/>
        </w:rPr>
        <w:t xml:space="preserve"> </w:t>
      </w:r>
      <w:r w:rsidR="00265BE8" w:rsidRPr="001157B3">
        <w:rPr>
          <w:rFonts w:ascii="Garamond" w:eastAsia="Times New Roman" w:hAnsi="Garamond" w:cs="Times New Roman"/>
          <w:color w:val="222222"/>
          <w:sz w:val="24"/>
          <w:szCs w:val="24"/>
          <w:lang w:val="en"/>
        </w:rPr>
        <w:t xml:space="preserve">their </w:t>
      </w:r>
      <w:r w:rsidR="00672181" w:rsidRPr="001157B3">
        <w:rPr>
          <w:rFonts w:ascii="Garamond" w:eastAsia="Times New Roman" w:hAnsi="Garamond" w:cs="Times New Roman"/>
          <w:color w:val="222222"/>
          <w:sz w:val="24"/>
          <w:szCs w:val="24"/>
          <w:lang w:val="en"/>
        </w:rPr>
        <w:t>local wisdom belief</w:t>
      </w:r>
      <w:r w:rsidR="00265BE8" w:rsidRPr="001157B3">
        <w:rPr>
          <w:rFonts w:ascii="Garamond" w:eastAsia="Times New Roman" w:hAnsi="Garamond" w:cs="Times New Roman"/>
          <w:color w:val="222222"/>
          <w:sz w:val="24"/>
          <w:szCs w:val="24"/>
          <w:lang w:val="en"/>
        </w:rPr>
        <w:t xml:space="preserve">, </w:t>
      </w:r>
      <w:r w:rsidR="001B4C3E" w:rsidRPr="001157B3">
        <w:rPr>
          <w:rFonts w:ascii="Garamond" w:eastAsia="Times New Roman" w:hAnsi="Garamond" w:cs="Times New Roman"/>
          <w:color w:val="222222"/>
          <w:sz w:val="24"/>
          <w:szCs w:val="24"/>
          <w:lang w:val="en"/>
        </w:rPr>
        <w:t xml:space="preserve">social </w:t>
      </w:r>
      <w:r w:rsidR="00265BE8" w:rsidRPr="001157B3">
        <w:rPr>
          <w:rFonts w:ascii="Garamond" w:eastAsia="Times New Roman" w:hAnsi="Garamond" w:cs="Times New Roman"/>
          <w:color w:val="222222"/>
          <w:sz w:val="24"/>
          <w:szCs w:val="24"/>
          <w:lang w:val="en"/>
        </w:rPr>
        <w:t xml:space="preserve">status, and </w:t>
      </w:r>
      <w:r w:rsidR="001B4C3E" w:rsidRPr="001157B3">
        <w:rPr>
          <w:rFonts w:ascii="Garamond" w:eastAsia="Times New Roman" w:hAnsi="Garamond" w:cs="Times New Roman"/>
          <w:color w:val="222222"/>
          <w:sz w:val="24"/>
          <w:szCs w:val="24"/>
          <w:lang w:val="en"/>
        </w:rPr>
        <w:t>educational</w:t>
      </w:r>
      <w:r w:rsidR="00265BE8" w:rsidRPr="001157B3">
        <w:rPr>
          <w:rFonts w:ascii="Garamond" w:eastAsia="Times New Roman" w:hAnsi="Garamond" w:cs="Times New Roman"/>
          <w:color w:val="222222"/>
          <w:sz w:val="24"/>
          <w:szCs w:val="24"/>
          <w:lang w:val="en"/>
        </w:rPr>
        <w:t xml:space="preserve"> background in a family</w:t>
      </w:r>
      <w:r w:rsidR="00265BE8" w:rsidRPr="004E5D63">
        <w:rPr>
          <w:rFonts w:ascii="Garamond" w:eastAsia="Times New Roman" w:hAnsi="Garamond" w:cs="Times New Roman"/>
          <w:color w:val="222222"/>
          <w:sz w:val="24"/>
          <w:szCs w:val="24"/>
          <w:lang w:val="en"/>
        </w:rPr>
        <w:t xml:space="preserve"> that can </w:t>
      </w:r>
      <w:r w:rsidR="00265BE8" w:rsidRPr="004E5D63">
        <w:rPr>
          <w:rStyle w:val="fontstyle01"/>
          <w:rFonts w:ascii="Garamond" w:hAnsi="Garamond"/>
        </w:rPr>
        <w:t xml:space="preserve">describe certain types of problems from their </w:t>
      </w:r>
      <w:r w:rsidR="00265BE8" w:rsidRPr="004E5D63">
        <w:rPr>
          <w:rFonts w:ascii="Garamond" w:hAnsi="Garamond" w:cs="Times New Roman"/>
          <w:noProof/>
          <w:sz w:val="24"/>
          <w:szCs w:val="24"/>
        </w:rPr>
        <w:t>bias between local wisdom and</w:t>
      </w:r>
      <w:r w:rsidR="00592B27" w:rsidRPr="004E5D63">
        <w:rPr>
          <w:rFonts w:ascii="Garamond" w:hAnsi="Garamond" w:cs="Times New Roman"/>
          <w:b/>
          <w:noProof/>
          <w:sz w:val="24"/>
          <w:szCs w:val="24"/>
        </w:rPr>
        <w:t xml:space="preserve"> </w:t>
      </w:r>
      <w:r w:rsidR="00265BE8" w:rsidRPr="004E5D63">
        <w:rPr>
          <w:rStyle w:val="fontstyle01"/>
          <w:rFonts w:ascii="Garamond" w:hAnsi="Garamond"/>
        </w:rPr>
        <w:t>gender inequality</w:t>
      </w:r>
      <w:r w:rsidR="00265BE8" w:rsidRPr="004E5D63">
        <w:rPr>
          <w:rFonts w:ascii="Garamond" w:hAnsi="Garamond" w:cs="Times New Roman"/>
          <w:b/>
          <w:noProof/>
          <w:sz w:val="24"/>
          <w:szCs w:val="24"/>
        </w:rPr>
        <w:t>.</w:t>
      </w:r>
      <w:r w:rsidR="00592B27" w:rsidRPr="004E5D63">
        <w:rPr>
          <w:rFonts w:ascii="Garamond" w:hAnsi="Garamond" w:cs="Times New Roman"/>
          <w:b/>
          <w:noProof/>
          <w:sz w:val="24"/>
          <w:szCs w:val="24"/>
        </w:rPr>
        <w:t xml:space="preserve"> </w:t>
      </w:r>
    </w:p>
    <w:p w:rsidR="002A2D08" w:rsidRPr="004E5D63" w:rsidRDefault="00C02436" w:rsidP="00E41B6E">
      <w:pPr>
        <w:pStyle w:val="ListParagraph"/>
        <w:spacing w:line="240" w:lineRule="auto"/>
        <w:ind w:left="90" w:firstLine="630"/>
        <w:jc w:val="both"/>
        <w:rPr>
          <w:rFonts w:ascii="Garamond" w:hAnsi="Garamond" w:cs="Times New Roman"/>
          <w:color w:val="000000"/>
          <w:sz w:val="24"/>
          <w:szCs w:val="24"/>
        </w:rPr>
      </w:pPr>
      <w:r w:rsidRPr="004E5D63">
        <w:rPr>
          <w:rFonts w:ascii="Garamond" w:hAnsi="Garamond" w:cs="Times New Roman"/>
          <w:color w:val="000000"/>
          <w:sz w:val="24"/>
          <w:szCs w:val="24"/>
        </w:rPr>
        <w:t>The second one is recording units</w:t>
      </w:r>
      <w:r w:rsidR="00DA53D3" w:rsidRPr="004E5D63">
        <w:rPr>
          <w:rFonts w:ascii="Garamond" w:hAnsi="Garamond" w:cs="Times New Roman"/>
          <w:noProof/>
          <w:sz w:val="24"/>
          <w:szCs w:val="24"/>
        </w:rPr>
        <w:t xml:space="preserve">; recording units are parts of the content </w:t>
      </w:r>
      <w:r w:rsidR="00DA53D3" w:rsidRPr="004E5D63">
        <w:rPr>
          <w:rStyle w:val="fontstyle01"/>
          <w:rFonts w:ascii="Garamond" w:hAnsi="Garamond"/>
        </w:rPr>
        <w:t>that will</w:t>
      </w:r>
      <w:r w:rsidR="00511CE3" w:rsidRPr="004E5D63">
        <w:rPr>
          <w:rFonts w:ascii="Garamond" w:hAnsi="Garamond" w:cs="Times New Roman"/>
          <w:color w:val="000000"/>
          <w:sz w:val="24"/>
          <w:szCs w:val="24"/>
        </w:rPr>
        <w:t xml:space="preserve"> </w:t>
      </w:r>
      <w:r w:rsidR="00DA53D3" w:rsidRPr="004E5D63">
        <w:rPr>
          <w:rStyle w:val="fontstyle01"/>
          <w:rFonts w:ascii="Garamond" w:hAnsi="Garamond"/>
        </w:rPr>
        <w:t xml:space="preserve">be recorded, calculated, and </w:t>
      </w:r>
      <w:r w:rsidR="00511CE3" w:rsidRPr="004E5D63">
        <w:rPr>
          <w:rStyle w:val="fontstyle01"/>
          <w:rFonts w:ascii="Garamond" w:hAnsi="Garamond"/>
        </w:rPr>
        <w:t>analyzed</w:t>
      </w:r>
      <w:r w:rsidR="00DA53D3" w:rsidRPr="004E5D63">
        <w:rPr>
          <w:rStyle w:val="fontstyle01"/>
          <w:rFonts w:ascii="Garamond" w:hAnsi="Garamond"/>
        </w:rPr>
        <w:t xml:space="preserve"> </w:t>
      </w:r>
      <w:r w:rsidR="00D10E11" w:rsidRPr="004E5D63">
        <w:rPr>
          <w:rStyle w:val="fontstyle01"/>
          <w:rFonts w:ascii="Garamond" w:hAnsi="Garamond"/>
        </w:rPr>
        <w:fldChar w:fldCharType="begin" w:fldLock="1"/>
      </w:r>
      <w:r w:rsidR="00D10E11" w:rsidRPr="004E5D63">
        <w:rPr>
          <w:rStyle w:val="fontstyle01"/>
          <w:rFonts w:ascii="Garamond" w:hAnsi="Garamond"/>
        </w:rPr>
        <w:instrText>ADDIN CSL_CITATION {"citationItems":[{"id":"ITEM-1","itemData":{"author":[{"dropping-particle":"","family":"Eriyanto","given":"","non-dropping-particle":"","parse-names":false,"suffix":""}],"id":"ITEM-1","issued":{"date-parts":[["2013"]]},"publisher":"LKIS","title":"Deskripsi Analisis Wacana, Pengantar Analisis Teks Media","type":"book"},"uris":["http://www.mendeley.com/documents/?uuid=ab2b7e77-a4cc-42ef-9cde-28e9cacda524"]}],"mendeley":{"formattedCitation":"(Eriyanto, 2013)","plainTextFormattedCitation":"(Eriyanto, 2013)","previouslyFormattedCitation":"(Eriyanto, 2013)"},"properties":{"noteIndex":0},"schema":"https://github.com/citation-style-language/schema/raw/master/csl-citation.json"}</w:instrText>
      </w:r>
      <w:r w:rsidR="00D10E11" w:rsidRPr="004E5D63">
        <w:rPr>
          <w:rStyle w:val="fontstyle01"/>
          <w:rFonts w:ascii="Garamond" w:hAnsi="Garamond"/>
        </w:rPr>
        <w:fldChar w:fldCharType="separate"/>
      </w:r>
      <w:r w:rsidR="00D10E11" w:rsidRPr="004E5D63">
        <w:rPr>
          <w:rStyle w:val="fontstyle01"/>
          <w:rFonts w:ascii="Garamond" w:hAnsi="Garamond"/>
          <w:noProof/>
        </w:rPr>
        <w:t>(Eriyanto, 2013)</w:t>
      </w:r>
      <w:r w:rsidR="00D10E11" w:rsidRPr="004E5D63">
        <w:rPr>
          <w:rStyle w:val="fontstyle01"/>
          <w:rFonts w:ascii="Garamond" w:hAnsi="Garamond"/>
        </w:rPr>
        <w:fldChar w:fldCharType="end"/>
      </w:r>
      <w:r w:rsidR="00D10E11" w:rsidRPr="004E5D63">
        <w:rPr>
          <w:rStyle w:val="fontstyle01"/>
          <w:rFonts w:ascii="Garamond" w:hAnsi="Garamond"/>
        </w:rPr>
        <w:t>.</w:t>
      </w:r>
      <w:r w:rsidR="00597E73" w:rsidRPr="004E5D63">
        <w:rPr>
          <w:rFonts w:ascii="Garamond" w:hAnsi="Garamond" w:cs="Times New Roman"/>
          <w:color w:val="000000"/>
          <w:sz w:val="24"/>
          <w:szCs w:val="24"/>
        </w:rPr>
        <w:t xml:space="preserve"> This is related to which part of the content will</w:t>
      </w:r>
      <w:r w:rsidRPr="004E5D63">
        <w:rPr>
          <w:rFonts w:ascii="Garamond" w:hAnsi="Garamond" w:cs="Times New Roman"/>
          <w:color w:val="000000"/>
          <w:sz w:val="24"/>
          <w:szCs w:val="24"/>
        </w:rPr>
        <w:t xml:space="preserve"> </w:t>
      </w:r>
      <w:r w:rsidR="00597E73" w:rsidRPr="004E5D63">
        <w:rPr>
          <w:rFonts w:ascii="Garamond" w:hAnsi="Garamond" w:cs="Times New Roman"/>
          <w:color w:val="000000"/>
          <w:sz w:val="24"/>
          <w:szCs w:val="24"/>
        </w:rPr>
        <w:t xml:space="preserve">be recorded, calculated, and analyzed </w:t>
      </w:r>
      <w:r w:rsidR="00D10E11" w:rsidRPr="004E5D63">
        <w:rPr>
          <w:rFonts w:ascii="Garamond" w:hAnsi="Garamond" w:cs="Times New Roman"/>
          <w:color w:val="000000"/>
          <w:sz w:val="24"/>
          <w:szCs w:val="24"/>
        </w:rPr>
        <w:fldChar w:fldCharType="begin" w:fldLock="1"/>
      </w:r>
      <w:r w:rsidR="00D10E11" w:rsidRPr="004E5D63">
        <w:rPr>
          <w:rFonts w:ascii="Garamond" w:hAnsi="Garamond" w:cs="Times New Roman"/>
          <w:color w:val="000000"/>
          <w:sz w:val="24"/>
          <w:szCs w:val="24"/>
        </w:rPr>
        <w:instrText>ADDIN CSL_CITATION {"citationItems":[{"id":"ITEM-1","itemData":{"author":[{"dropping-particle":"","family":"Eriyanto","given":"","non-dropping-particle":"","parse-names":false,"suffix":""}],"id":"ITEM-1","issued":{"date-parts":[["2013"]]},"publisher":"LKIS","title":"Deskripsi Analisis Wacana, Pengantar Analisis Teks Media","type":"book"},"uris":["http://www.mendeley.com/documents/?uuid=ab2b7e77-a4cc-42ef-9cde-28e9cacda524"]}],"mendeley":{"formattedCitation":"(Eriyanto, 2013)","plainTextFormattedCitation":"(Eriyanto, 2013)","previouslyFormattedCitation":"(Eriyanto, 2013)"},"properties":{"noteIndex":0},"schema":"https://github.com/citation-style-language/schema/raw/master/csl-citation.json"}</w:instrText>
      </w:r>
      <w:r w:rsidR="00D10E11" w:rsidRPr="004E5D63">
        <w:rPr>
          <w:rFonts w:ascii="Garamond" w:hAnsi="Garamond" w:cs="Times New Roman"/>
          <w:color w:val="000000"/>
          <w:sz w:val="24"/>
          <w:szCs w:val="24"/>
        </w:rPr>
        <w:fldChar w:fldCharType="separate"/>
      </w:r>
      <w:r w:rsidR="00D10E11" w:rsidRPr="004E5D63">
        <w:rPr>
          <w:rFonts w:ascii="Garamond" w:hAnsi="Garamond" w:cs="Times New Roman"/>
          <w:noProof/>
          <w:color w:val="000000"/>
          <w:sz w:val="24"/>
          <w:szCs w:val="24"/>
        </w:rPr>
        <w:t>(Eriyanto, 2013)</w:t>
      </w:r>
      <w:r w:rsidR="00D10E11" w:rsidRPr="004E5D63">
        <w:rPr>
          <w:rFonts w:ascii="Garamond" w:hAnsi="Garamond" w:cs="Times New Roman"/>
          <w:color w:val="000000"/>
          <w:sz w:val="24"/>
          <w:szCs w:val="24"/>
        </w:rPr>
        <w:fldChar w:fldCharType="end"/>
      </w:r>
      <w:r w:rsidR="00B9509F" w:rsidRPr="004E5D63">
        <w:rPr>
          <w:rFonts w:ascii="Garamond" w:hAnsi="Garamond" w:cs="Times New Roman"/>
          <w:color w:val="000000"/>
          <w:sz w:val="24"/>
          <w:szCs w:val="24"/>
        </w:rPr>
        <w:t>. this study is focusing on each practice. This means that codification is based upon a particular theme, in case</w:t>
      </w:r>
      <w:r w:rsidR="00344B33" w:rsidRPr="004E5D63">
        <w:rPr>
          <w:rFonts w:ascii="Garamond" w:hAnsi="Garamond" w:cs="Times New Roman"/>
          <w:color w:val="000000"/>
          <w:sz w:val="24"/>
          <w:szCs w:val="24"/>
        </w:rPr>
        <w:t xml:space="preserve">. </w:t>
      </w:r>
      <w:r w:rsidR="00B9509F" w:rsidRPr="004E5D63">
        <w:rPr>
          <w:rFonts w:ascii="Garamond" w:hAnsi="Garamond" w:cs="Times New Roman"/>
          <w:color w:val="000000"/>
          <w:sz w:val="24"/>
          <w:szCs w:val="24"/>
        </w:rPr>
        <w:t>Afterward, the data that succeeded from the codification then recorded, calculated</w:t>
      </w:r>
      <w:r w:rsidR="00344B33" w:rsidRPr="004E5D63">
        <w:rPr>
          <w:rFonts w:ascii="Garamond" w:hAnsi="Garamond" w:cs="Times New Roman"/>
          <w:color w:val="000000"/>
          <w:sz w:val="24"/>
          <w:szCs w:val="24"/>
        </w:rPr>
        <w:t xml:space="preserve">, </w:t>
      </w:r>
      <w:r w:rsidR="00B9509F" w:rsidRPr="004E5D63">
        <w:rPr>
          <w:rFonts w:ascii="Garamond" w:hAnsi="Garamond" w:cs="Times New Roman"/>
          <w:color w:val="000000"/>
          <w:sz w:val="24"/>
          <w:szCs w:val="24"/>
        </w:rPr>
        <w:t xml:space="preserve">and </w:t>
      </w:r>
      <w:r w:rsidR="00344B33" w:rsidRPr="004E5D63">
        <w:rPr>
          <w:rFonts w:ascii="Garamond" w:hAnsi="Garamond" w:cs="Times New Roman"/>
          <w:color w:val="000000"/>
          <w:sz w:val="24"/>
          <w:szCs w:val="24"/>
        </w:rPr>
        <w:t>analyzed</w:t>
      </w:r>
      <w:r w:rsidRPr="004E5D63">
        <w:rPr>
          <w:rFonts w:ascii="Garamond" w:hAnsi="Garamond" w:cs="Times New Roman"/>
          <w:color w:val="000000"/>
          <w:sz w:val="24"/>
          <w:szCs w:val="24"/>
        </w:rPr>
        <w:t>.</w:t>
      </w:r>
      <w:r w:rsidRPr="004E5D63">
        <w:rPr>
          <w:rFonts w:ascii="Garamond" w:hAnsi="Garamond" w:cs="Times New Roman"/>
          <w:sz w:val="24"/>
          <w:szCs w:val="24"/>
        </w:rPr>
        <w:t xml:space="preserve"> </w:t>
      </w:r>
      <w:r w:rsidRPr="004E5D63">
        <w:rPr>
          <w:rFonts w:ascii="Garamond" w:hAnsi="Garamond" w:cs="Times New Roman"/>
          <w:color w:val="000000"/>
          <w:sz w:val="24"/>
          <w:szCs w:val="24"/>
        </w:rPr>
        <w:t>The researcher</w:t>
      </w:r>
      <w:r w:rsidR="00C3663A" w:rsidRPr="004E5D63">
        <w:rPr>
          <w:rFonts w:ascii="Garamond" w:hAnsi="Garamond" w:cs="Times New Roman"/>
          <w:color w:val="000000"/>
          <w:sz w:val="24"/>
          <w:szCs w:val="24"/>
        </w:rPr>
        <w:t>s</w:t>
      </w:r>
      <w:r w:rsidRPr="004E5D63">
        <w:rPr>
          <w:rFonts w:ascii="Garamond" w:hAnsi="Garamond" w:cs="Times New Roman"/>
          <w:color w:val="000000"/>
          <w:sz w:val="24"/>
          <w:szCs w:val="24"/>
        </w:rPr>
        <w:t xml:space="preserve"> will estimate and find the problem of confusion</w:t>
      </w:r>
      <w:r w:rsidR="00233399" w:rsidRPr="004E5D63">
        <w:rPr>
          <w:rFonts w:ascii="Garamond" w:hAnsi="Garamond" w:cs="Times New Roman"/>
          <w:color w:val="000000"/>
          <w:sz w:val="24"/>
          <w:szCs w:val="24"/>
        </w:rPr>
        <w:t>.</w:t>
      </w:r>
    </w:p>
    <w:p w:rsidR="00F11E2C" w:rsidRDefault="00C02436" w:rsidP="00CB2EA4">
      <w:pPr>
        <w:pStyle w:val="ListParagraph"/>
        <w:spacing w:line="240" w:lineRule="auto"/>
        <w:ind w:left="90" w:firstLine="630"/>
        <w:jc w:val="both"/>
        <w:rPr>
          <w:rFonts w:ascii="Garamond" w:hAnsi="Garamond" w:cs="Times New Roman"/>
          <w:color w:val="000000"/>
          <w:sz w:val="24"/>
          <w:szCs w:val="24"/>
        </w:rPr>
      </w:pPr>
      <w:r w:rsidRPr="004E5D63">
        <w:rPr>
          <w:rFonts w:ascii="Garamond" w:hAnsi="Garamond" w:cs="Times New Roman"/>
          <w:color w:val="000000"/>
          <w:sz w:val="24"/>
          <w:szCs w:val="24"/>
        </w:rPr>
        <w:t>The last one is the context unit. This unit is used by the researcher</w:t>
      </w:r>
      <w:r w:rsidR="00C3663A" w:rsidRPr="004E5D63">
        <w:rPr>
          <w:rFonts w:ascii="Garamond" w:hAnsi="Garamond" w:cs="Times New Roman"/>
          <w:color w:val="000000"/>
          <w:sz w:val="24"/>
          <w:szCs w:val="24"/>
        </w:rPr>
        <w:t>s</w:t>
      </w:r>
      <w:r w:rsidRPr="004E5D63">
        <w:rPr>
          <w:rFonts w:ascii="Garamond" w:hAnsi="Garamond" w:cs="Times New Roman"/>
          <w:color w:val="000000"/>
          <w:sz w:val="24"/>
          <w:szCs w:val="24"/>
        </w:rPr>
        <w:t xml:space="preserve"> to provide context forresearch findings to gain meaning</w:t>
      </w:r>
      <w:r w:rsidR="00233399" w:rsidRPr="004E5D63">
        <w:rPr>
          <w:rFonts w:ascii="Garamond" w:hAnsi="Garamond" w:cs="Times New Roman"/>
          <w:color w:val="000000"/>
          <w:sz w:val="24"/>
          <w:szCs w:val="24"/>
        </w:rPr>
        <w:t>.</w:t>
      </w:r>
      <w:r w:rsidR="00233399" w:rsidRPr="004E5D63">
        <w:rPr>
          <w:rFonts w:ascii="Garamond" w:hAnsi="Garamond" w:cs="Times New Roman"/>
          <w:sz w:val="24"/>
          <w:szCs w:val="24"/>
        </w:rPr>
        <w:t xml:space="preserve"> </w:t>
      </w:r>
      <w:r w:rsidR="00233399" w:rsidRPr="004E5D63">
        <w:rPr>
          <w:rFonts w:ascii="Garamond" w:hAnsi="Garamond" w:cs="Times New Roman"/>
          <w:color w:val="000000"/>
          <w:sz w:val="24"/>
          <w:szCs w:val="24"/>
        </w:rPr>
        <w:t xml:space="preserve">Once the percentage of practice from a particular theme is achieved, the writer will give sense to the data findings by utilizing gender and discourse interpretation </w:t>
      </w:r>
      <w:r w:rsidR="00D10E11" w:rsidRPr="004E5D63">
        <w:rPr>
          <w:rFonts w:ascii="Garamond" w:hAnsi="Garamond" w:cs="Times New Roman"/>
          <w:color w:val="000000"/>
          <w:sz w:val="24"/>
          <w:szCs w:val="24"/>
        </w:rPr>
        <w:fldChar w:fldCharType="begin" w:fldLock="1"/>
      </w:r>
      <w:r w:rsidR="00D10E11" w:rsidRPr="004E5D63">
        <w:rPr>
          <w:rFonts w:ascii="Garamond" w:hAnsi="Garamond" w:cs="Times New Roman"/>
          <w:color w:val="000000"/>
          <w:sz w:val="24"/>
          <w:szCs w:val="24"/>
        </w:rPr>
        <w:instrText>ADDIN CSL_CITATION {"citationItems":[{"id":"ITEM-1","itemData":{"author":[{"dropping-particle":"","family":"Eriyanto","given":"","non-dropping-particle":"","parse-names":false,"suffix":""}],"id":"ITEM-1","issued":{"date-parts":[["2013"]]},"publisher":"LKIS","title":"Deskripsi Analisis Wacana, Pengantar Analisis Teks Media","type":"book"},"uris":["http://www.mendeley.com/documents/?uuid=ab2b7e77-a4cc-42ef-9cde-28e9cacda524"]}],"mendeley":{"formattedCitation":"(Eriyanto, 2013)","plainTextFormattedCitation":"(Eriyanto, 2013)","previouslyFormattedCitation":"(Eriyanto, 2013)"},"properties":{"noteIndex":0},"schema":"https://github.com/citation-style-language/schema/raw/master/csl-citation.json"}</w:instrText>
      </w:r>
      <w:r w:rsidR="00D10E11" w:rsidRPr="004E5D63">
        <w:rPr>
          <w:rFonts w:ascii="Garamond" w:hAnsi="Garamond" w:cs="Times New Roman"/>
          <w:color w:val="000000"/>
          <w:sz w:val="24"/>
          <w:szCs w:val="24"/>
        </w:rPr>
        <w:fldChar w:fldCharType="separate"/>
      </w:r>
      <w:r w:rsidR="00D10E11" w:rsidRPr="004E5D63">
        <w:rPr>
          <w:rFonts w:ascii="Garamond" w:hAnsi="Garamond" w:cs="Times New Roman"/>
          <w:noProof/>
          <w:color w:val="000000"/>
          <w:sz w:val="24"/>
          <w:szCs w:val="24"/>
        </w:rPr>
        <w:t>(Eriyanto, 2013)</w:t>
      </w:r>
      <w:r w:rsidR="00D10E11" w:rsidRPr="004E5D63">
        <w:rPr>
          <w:rFonts w:ascii="Garamond" w:hAnsi="Garamond" w:cs="Times New Roman"/>
          <w:color w:val="000000"/>
          <w:sz w:val="24"/>
          <w:szCs w:val="24"/>
        </w:rPr>
        <w:fldChar w:fldCharType="end"/>
      </w:r>
      <w:r w:rsidR="00233399" w:rsidRPr="004E5D63">
        <w:rPr>
          <w:rFonts w:ascii="Garamond" w:hAnsi="Garamond" w:cs="Times New Roman"/>
          <w:color w:val="000000"/>
          <w:sz w:val="24"/>
          <w:szCs w:val="24"/>
        </w:rPr>
        <w:t>.</w:t>
      </w:r>
      <w:r w:rsidR="00C82E4F" w:rsidRPr="004E5D63">
        <w:rPr>
          <w:rFonts w:ascii="Garamond" w:hAnsi="Garamond" w:cs="Times New Roman"/>
          <w:color w:val="000000"/>
          <w:sz w:val="24"/>
          <w:szCs w:val="24"/>
        </w:rPr>
        <w:t xml:space="preserve"> Then the </w:t>
      </w:r>
      <w:r w:rsidR="00CB2EA4">
        <w:rPr>
          <w:rFonts w:ascii="Garamond" w:hAnsi="Garamond" w:cs="Times New Roman"/>
          <w:color w:val="000000"/>
          <w:sz w:val="24"/>
          <w:szCs w:val="24"/>
        </w:rPr>
        <w:t>researcher</w:t>
      </w:r>
      <w:r w:rsidR="0066343E">
        <w:rPr>
          <w:rFonts w:ascii="Garamond" w:hAnsi="Garamond" w:cs="Times New Roman"/>
          <w:color w:val="000000"/>
          <w:sz w:val="24"/>
          <w:szCs w:val="24"/>
        </w:rPr>
        <w:t>s calculate</w:t>
      </w:r>
      <w:r w:rsidR="00CB2EA4">
        <w:rPr>
          <w:rFonts w:ascii="Garamond" w:hAnsi="Garamond" w:cs="Times New Roman"/>
          <w:color w:val="000000"/>
          <w:sz w:val="24"/>
          <w:szCs w:val="24"/>
        </w:rPr>
        <w:t xml:space="preserve"> the data </w:t>
      </w:r>
      <w:r w:rsidR="00C82E4F" w:rsidRPr="004E5D63">
        <w:rPr>
          <w:rFonts w:ascii="Garamond" w:hAnsi="Garamond" w:cs="Times New Roman"/>
          <w:color w:val="000000"/>
          <w:sz w:val="24"/>
          <w:szCs w:val="24"/>
        </w:rPr>
        <w:t>about the confusion problem faced by the prac</w:t>
      </w:r>
      <w:r w:rsidR="00CB2EA4">
        <w:rPr>
          <w:rFonts w:ascii="Garamond" w:hAnsi="Garamond" w:cs="Times New Roman"/>
          <w:color w:val="000000"/>
          <w:sz w:val="24"/>
          <w:szCs w:val="24"/>
        </w:rPr>
        <w:t xml:space="preserve">tice. As a way of answering the </w:t>
      </w:r>
      <w:r w:rsidR="00C82E4F" w:rsidRPr="004E5D63">
        <w:rPr>
          <w:rFonts w:ascii="Garamond" w:hAnsi="Garamond" w:cs="Times New Roman"/>
          <w:color w:val="000000"/>
          <w:sz w:val="24"/>
          <w:szCs w:val="24"/>
        </w:rPr>
        <w:t xml:space="preserve">questions, they refer </w:t>
      </w:r>
      <w:r w:rsidR="00D10E11" w:rsidRPr="004E5D63">
        <w:rPr>
          <w:rFonts w:ascii="Garamond" w:hAnsi="Garamond" w:cs="Times New Roman"/>
          <w:color w:val="000000"/>
          <w:sz w:val="24"/>
          <w:szCs w:val="24"/>
        </w:rPr>
        <w:fldChar w:fldCharType="begin" w:fldLock="1"/>
      </w:r>
      <w:r w:rsidR="00D10E11" w:rsidRPr="004E5D63">
        <w:rPr>
          <w:rFonts w:ascii="Garamond" w:hAnsi="Garamond" w:cs="Times New Roman"/>
          <w:color w:val="000000"/>
          <w:sz w:val="24"/>
          <w:szCs w:val="24"/>
        </w:rPr>
        <w:instrText>ADDIN CSL_CITATION {"citationItems":[{"id":"ITEM-1","itemData":{"author":[{"dropping-particle":"","family":"Wienanda","given":"Wahyu Kartika","non-dropping-particle":"","parse-names":false,"suffix":""}],"id":"ITEM-1","issued":{"date-parts":[["2012"]]},"publisher":"Universitas Negeri Malang","title":"AN ANALYSIS OF VII GRADE ENGLISH COURSEBOOK ENTITLED ENGLISH ON SKY 1 IN TERMS OF GENDER BALANCE OF THE MATERIALS","type":"thesis"},"uris":["http://www.mendeley.com/documents/?uuid=f4b2a471-ac5e-49ca-a675-a0ddb25b7a15"]}],"mendeley":{"formattedCitation":"(Wienanda, 2012)","plainTextFormattedCitation":"(Wienanda, 2012)","previouslyFormattedCitation":"(Wienanda, 2012)"},"properties":{"noteIndex":0},"schema":"https://github.com/citation-style-language/schema/raw/master/csl-citation.json"}</w:instrText>
      </w:r>
      <w:r w:rsidR="00D10E11" w:rsidRPr="004E5D63">
        <w:rPr>
          <w:rFonts w:ascii="Garamond" w:hAnsi="Garamond" w:cs="Times New Roman"/>
          <w:color w:val="000000"/>
          <w:sz w:val="24"/>
          <w:szCs w:val="24"/>
        </w:rPr>
        <w:fldChar w:fldCharType="separate"/>
      </w:r>
      <w:r w:rsidR="00D10E11" w:rsidRPr="004E5D63">
        <w:rPr>
          <w:rFonts w:ascii="Garamond" w:hAnsi="Garamond" w:cs="Times New Roman"/>
          <w:noProof/>
          <w:color w:val="000000"/>
          <w:sz w:val="24"/>
          <w:szCs w:val="24"/>
        </w:rPr>
        <w:t>(Wienanda, 2012)</w:t>
      </w:r>
      <w:r w:rsidR="00D10E11" w:rsidRPr="004E5D63">
        <w:rPr>
          <w:rFonts w:ascii="Garamond" w:hAnsi="Garamond" w:cs="Times New Roman"/>
          <w:color w:val="000000"/>
          <w:sz w:val="24"/>
          <w:szCs w:val="24"/>
        </w:rPr>
        <w:fldChar w:fldCharType="end"/>
      </w:r>
      <w:r w:rsidR="00C82E4F" w:rsidRPr="004E5D63">
        <w:rPr>
          <w:rFonts w:ascii="Garamond" w:hAnsi="Garamond" w:cs="Times New Roman"/>
          <w:color w:val="000000"/>
          <w:sz w:val="24"/>
          <w:szCs w:val="24"/>
        </w:rPr>
        <w:t xml:space="preserve"> and </w:t>
      </w:r>
      <w:r w:rsidR="00D10E11" w:rsidRPr="004E5D63">
        <w:rPr>
          <w:rFonts w:ascii="Garamond" w:hAnsi="Garamond" w:cs="Times New Roman"/>
          <w:color w:val="000000"/>
          <w:sz w:val="24"/>
          <w:szCs w:val="24"/>
        </w:rPr>
        <w:fldChar w:fldCharType="begin" w:fldLock="1"/>
      </w:r>
      <w:r w:rsidR="009A22B3" w:rsidRPr="004E5D63">
        <w:rPr>
          <w:rFonts w:ascii="Garamond" w:hAnsi="Garamond" w:cs="Times New Roman"/>
          <w:color w:val="000000"/>
          <w:sz w:val="24"/>
          <w:szCs w:val="24"/>
        </w:rPr>
        <w:instrText>ADDIN CSL_CITATION {"citationItems":[{"id":"ITEM-1","itemData":{"author":[{"dropping-particle":"","family":"Witjatmoko","given":"N","non-dropping-particle":"","parse-names":false,"suffix":""}],"id":"ITEM-1","issued":{"date-parts":[["2016"]]},"publisher":"Universitas Negeri Malang","title":"Gender Representation in Two EFL Textbooks Used in Grade VII of Junior High School","type":"thesis"},"uris":["http://www.mendeley.com/documents/?uuid=7d6167dc-4dac-432b-87a8-967b2d6cd58d"]}],"mendeley":{"formattedCitation":"(Witjatmoko, 2016)","plainTextFormattedCitation":"(Witjatmoko, 2016)","previouslyFormattedCitation":"(Witjatmoko, 2016)"},"properties":{"noteIndex":0},"schema":"https://github.com/citation-style-language/schema/raw/master/csl-citation.json"}</w:instrText>
      </w:r>
      <w:r w:rsidR="00D10E11" w:rsidRPr="004E5D63">
        <w:rPr>
          <w:rFonts w:ascii="Garamond" w:hAnsi="Garamond" w:cs="Times New Roman"/>
          <w:color w:val="000000"/>
          <w:sz w:val="24"/>
          <w:szCs w:val="24"/>
        </w:rPr>
        <w:fldChar w:fldCharType="separate"/>
      </w:r>
      <w:r w:rsidR="00D10E11" w:rsidRPr="004E5D63">
        <w:rPr>
          <w:rFonts w:ascii="Garamond" w:hAnsi="Garamond" w:cs="Times New Roman"/>
          <w:noProof/>
          <w:color w:val="000000"/>
          <w:sz w:val="24"/>
          <w:szCs w:val="24"/>
        </w:rPr>
        <w:t>(Witjatmoko, 2016)</w:t>
      </w:r>
      <w:r w:rsidR="00D10E11" w:rsidRPr="004E5D63">
        <w:rPr>
          <w:rFonts w:ascii="Garamond" w:hAnsi="Garamond" w:cs="Times New Roman"/>
          <w:color w:val="000000"/>
          <w:sz w:val="24"/>
          <w:szCs w:val="24"/>
        </w:rPr>
        <w:fldChar w:fldCharType="end"/>
      </w:r>
      <w:r w:rsidR="00C82E4F" w:rsidRPr="004E5D63">
        <w:rPr>
          <w:rFonts w:ascii="Garamond" w:hAnsi="Garamond" w:cs="Times New Roman"/>
          <w:color w:val="000000"/>
          <w:sz w:val="24"/>
          <w:szCs w:val="24"/>
        </w:rPr>
        <w:t xml:space="preserve"> who divide the percentage of the gap into three-stage 0-15% consider as </w:t>
      </w:r>
      <w:r w:rsidR="00C82E4F" w:rsidRPr="004E5D63">
        <w:rPr>
          <w:rFonts w:ascii="Garamond" w:hAnsi="Garamond" w:cs="Times New Roman"/>
          <w:color w:val="000000"/>
          <w:sz w:val="24"/>
          <w:szCs w:val="24"/>
        </w:rPr>
        <w:lastRenderedPageBreak/>
        <w:t xml:space="preserve">balance, 16-25% gap consider to fairly balance, and &gt;25% gap is considered as an </w:t>
      </w:r>
      <w:r w:rsidR="00672181" w:rsidRPr="004E5D63">
        <w:rPr>
          <w:rFonts w:ascii="Garamond" w:hAnsi="Garamond" w:cs="Times New Roman"/>
          <w:color w:val="000000"/>
          <w:sz w:val="24"/>
          <w:szCs w:val="24"/>
        </w:rPr>
        <w:t>imbalance. Finally</w:t>
      </w:r>
      <w:r w:rsidR="00C82E4F" w:rsidRPr="004E5D63">
        <w:rPr>
          <w:rFonts w:ascii="Garamond" w:hAnsi="Garamond" w:cs="Times New Roman"/>
          <w:color w:val="000000"/>
          <w:sz w:val="24"/>
          <w:szCs w:val="24"/>
        </w:rPr>
        <w:t xml:space="preserve">, </w:t>
      </w:r>
      <w:r w:rsidR="00CD0C4B" w:rsidRPr="004E5D63">
        <w:rPr>
          <w:rFonts w:ascii="Garamond" w:hAnsi="Garamond" w:cs="Times New Roman"/>
          <w:color w:val="000000"/>
          <w:sz w:val="24"/>
          <w:szCs w:val="24"/>
        </w:rPr>
        <w:t xml:space="preserve">they category those gaps and interpret as the </w:t>
      </w:r>
      <w:r w:rsidR="00C3663A" w:rsidRPr="004E5D63">
        <w:rPr>
          <w:rFonts w:ascii="Garamond" w:hAnsi="Garamond" w:cs="Times New Roman"/>
          <w:color w:val="000000"/>
          <w:sz w:val="24"/>
          <w:szCs w:val="24"/>
        </w:rPr>
        <w:t>research</w:t>
      </w:r>
      <w:r w:rsidR="00CD0C4B" w:rsidRPr="004E5D63">
        <w:rPr>
          <w:rFonts w:ascii="Garamond" w:hAnsi="Garamond" w:cs="Times New Roman"/>
          <w:color w:val="000000"/>
          <w:sz w:val="24"/>
          <w:szCs w:val="24"/>
        </w:rPr>
        <w:t xml:space="preserve"> finding.</w:t>
      </w:r>
    </w:p>
    <w:p w:rsidR="004E5D63" w:rsidRDefault="004E5D63" w:rsidP="00E41B6E">
      <w:pPr>
        <w:pStyle w:val="ListParagraph"/>
        <w:spacing w:line="240" w:lineRule="auto"/>
        <w:ind w:left="90" w:firstLine="630"/>
        <w:jc w:val="both"/>
        <w:rPr>
          <w:rFonts w:ascii="Garamond" w:hAnsi="Garamond" w:cs="Times New Roman"/>
          <w:color w:val="000000"/>
          <w:sz w:val="24"/>
          <w:szCs w:val="24"/>
        </w:rPr>
      </w:pPr>
    </w:p>
    <w:p w:rsidR="004E5D63" w:rsidRPr="004E5D63" w:rsidRDefault="004E5D63" w:rsidP="00E41B6E">
      <w:pPr>
        <w:pStyle w:val="ListParagraph"/>
        <w:spacing w:line="240" w:lineRule="auto"/>
        <w:ind w:left="90" w:firstLine="630"/>
        <w:jc w:val="both"/>
        <w:rPr>
          <w:rFonts w:ascii="Garamond" w:hAnsi="Garamond" w:cs="Times New Roman"/>
          <w:color w:val="000000"/>
          <w:sz w:val="24"/>
          <w:szCs w:val="24"/>
        </w:rPr>
      </w:pPr>
    </w:p>
    <w:p w:rsidR="00CE2627" w:rsidRDefault="00C02436" w:rsidP="00E41B6E">
      <w:pPr>
        <w:pStyle w:val="ListParagraph"/>
        <w:numPr>
          <w:ilvl w:val="0"/>
          <w:numId w:val="1"/>
        </w:numPr>
        <w:spacing w:line="240" w:lineRule="auto"/>
        <w:ind w:left="720"/>
        <w:jc w:val="both"/>
        <w:rPr>
          <w:rFonts w:ascii="Garamond" w:hAnsi="Garamond" w:cs="Times New Roman"/>
          <w:b/>
          <w:sz w:val="24"/>
          <w:szCs w:val="24"/>
        </w:rPr>
      </w:pPr>
      <w:r w:rsidRPr="004E5D63">
        <w:rPr>
          <w:rFonts w:ascii="Garamond" w:hAnsi="Garamond" w:cs="Times New Roman"/>
          <w:b/>
          <w:sz w:val="24"/>
          <w:szCs w:val="24"/>
        </w:rPr>
        <w:t>Results</w:t>
      </w:r>
      <w:r w:rsidR="00EF7F27" w:rsidRPr="004E5D63">
        <w:rPr>
          <w:rFonts w:ascii="Garamond" w:hAnsi="Garamond" w:cs="Times New Roman"/>
          <w:b/>
          <w:sz w:val="24"/>
          <w:szCs w:val="24"/>
        </w:rPr>
        <w:t xml:space="preserve"> </w:t>
      </w:r>
      <w:r w:rsidR="0098286C" w:rsidRPr="004E5D63">
        <w:rPr>
          <w:rFonts w:ascii="Garamond" w:hAnsi="Garamond" w:cs="Times New Roman"/>
          <w:b/>
          <w:sz w:val="24"/>
          <w:szCs w:val="24"/>
        </w:rPr>
        <w:t>and Discussion</w:t>
      </w:r>
    </w:p>
    <w:p w:rsidR="004E5D63" w:rsidRPr="004E5D63" w:rsidRDefault="004E5D63" w:rsidP="004E5D63">
      <w:pPr>
        <w:pStyle w:val="ListParagraph"/>
        <w:spacing w:line="240" w:lineRule="auto"/>
        <w:jc w:val="both"/>
        <w:rPr>
          <w:rFonts w:ascii="Garamond" w:hAnsi="Garamond" w:cs="Times New Roman"/>
          <w:b/>
          <w:sz w:val="24"/>
          <w:szCs w:val="24"/>
        </w:rPr>
      </w:pPr>
    </w:p>
    <w:p w:rsidR="00EF7F27" w:rsidRDefault="00C02436" w:rsidP="00E41B6E">
      <w:pPr>
        <w:pStyle w:val="ListParagraph"/>
        <w:spacing w:line="240" w:lineRule="auto"/>
        <w:ind w:left="90" w:firstLine="630"/>
        <w:rPr>
          <w:rFonts w:ascii="Garamond" w:hAnsi="Garamond" w:cs="Times New Roman"/>
          <w:color w:val="000000"/>
          <w:sz w:val="24"/>
          <w:szCs w:val="24"/>
        </w:rPr>
      </w:pPr>
      <w:r w:rsidRPr="004E5D63">
        <w:rPr>
          <w:rFonts w:ascii="Garamond" w:hAnsi="Garamond" w:cs="Times New Roman"/>
          <w:color w:val="000000"/>
          <w:sz w:val="24"/>
          <w:szCs w:val="24"/>
        </w:rPr>
        <w:t xml:space="preserve">The findings of the study, which is analyzing gender inequality confusion among female parents, are categorized from 1) </w:t>
      </w:r>
      <w:r w:rsidR="00672181" w:rsidRPr="004E5D63">
        <w:rPr>
          <w:rFonts w:ascii="Garamond" w:hAnsi="Garamond" w:cs="Times New Roman"/>
          <w:color w:val="000000"/>
          <w:sz w:val="24"/>
          <w:szCs w:val="24"/>
        </w:rPr>
        <w:t>local wisdom belief</w:t>
      </w:r>
      <w:r w:rsidRPr="004E5D63">
        <w:rPr>
          <w:rFonts w:ascii="Garamond" w:hAnsi="Garamond" w:cs="Times New Roman"/>
          <w:color w:val="000000"/>
          <w:sz w:val="24"/>
          <w:szCs w:val="24"/>
        </w:rPr>
        <w:t>, 2) social status,</w:t>
      </w:r>
      <w:r w:rsidR="00672181" w:rsidRPr="004E5D63">
        <w:rPr>
          <w:rFonts w:ascii="Garamond" w:hAnsi="Garamond" w:cs="Times New Roman"/>
          <w:color w:val="000000"/>
          <w:sz w:val="24"/>
          <w:szCs w:val="24"/>
        </w:rPr>
        <w:t xml:space="preserve"> and</w:t>
      </w:r>
      <w:r w:rsidRPr="004E5D63">
        <w:rPr>
          <w:rFonts w:ascii="Garamond" w:hAnsi="Garamond" w:cs="Times New Roman"/>
          <w:color w:val="000000"/>
          <w:sz w:val="24"/>
          <w:szCs w:val="24"/>
        </w:rPr>
        <w:t xml:space="preserve"> 4) </w:t>
      </w:r>
      <w:r w:rsidR="00672181" w:rsidRPr="004E5D63">
        <w:rPr>
          <w:rFonts w:ascii="Garamond" w:eastAsia="Times New Roman" w:hAnsi="Garamond" w:cs="Times New Roman"/>
          <w:color w:val="222222"/>
          <w:sz w:val="24"/>
          <w:szCs w:val="24"/>
          <w:lang w:val="en"/>
        </w:rPr>
        <w:t>educational background</w:t>
      </w:r>
      <w:r w:rsidRPr="004E5D63">
        <w:rPr>
          <w:rFonts w:ascii="Garamond" w:hAnsi="Garamond" w:cs="Times New Roman"/>
          <w:color w:val="000000"/>
          <w:sz w:val="24"/>
          <w:szCs w:val="24"/>
        </w:rPr>
        <w:t>. The findings are presented as follows:</w:t>
      </w:r>
    </w:p>
    <w:p w:rsidR="004E5D63" w:rsidRPr="004E5D63" w:rsidRDefault="004E5D63" w:rsidP="00E41B6E">
      <w:pPr>
        <w:pStyle w:val="ListParagraph"/>
        <w:spacing w:line="240" w:lineRule="auto"/>
        <w:ind w:left="90" w:firstLine="630"/>
        <w:rPr>
          <w:rFonts w:ascii="Garamond" w:hAnsi="Garamond" w:cs="Times New Roman"/>
          <w:color w:val="000000"/>
          <w:sz w:val="24"/>
          <w:szCs w:val="24"/>
        </w:rPr>
      </w:pPr>
    </w:p>
    <w:p w:rsidR="004178B5" w:rsidRPr="004E5D63" w:rsidRDefault="00C02436" w:rsidP="00E41B6E">
      <w:pPr>
        <w:pStyle w:val="ListParagraph"/>
        <w:spacing w:line="240" w:lineRule="auto"/>
        <w:ind w:left="90"/>
        <w:rPr>
          <w:rFonts w:ascii="Garamond" w:hAnsi="Garamond" w:cs="Times New Roman"/>
          <w:b/>
          <w:color w:val="000000"/>
          <w:sz w:val="24"/>
          <w:szCs w:val="24"/>
        </w:rPr>
      </w:pPr>
      <w:r w:rsidRPr="004E5D63">
        <w:rPr>
          <w:rFonts w:ascii="Garamond" w:hAnsi="Garamond" w:cs="Times New Roman"/>
          <w:b/>
          <w:color w:val="000000"/>
          <w:sz w:val="24"/>
          <w:szCs w:val="24"/>
        </w:rPr>
        <w:t>Table 4.1 local wisdom belief</w:t>
      </w:r>
    </w:p>
    <w:p w:rsidR="004E5D63" w:rsidRPr="004E5D63" w:rsidRDefault="004E5D63" w:rsidP="00E41B6E">
      <w:pPr>
        <w:pStyle w:val="ListParagraph"/>
        <w:spacing w:line="240" w:lineRule="auto"/>
        <w:ind w:left="90"/>
        <w:rPr>
          <w:rFonts w:ascii="Garamond" w:hAnsi="Garamond" w:cs="Times New Roman"/>
          <w:color w:val="000000"/>
          <w:sz w:val="24"/>
          <w:szCs w:val="24"/>
        </w:rPr>
      </w:pPr>
    </w:p>
    <w:tbl>
      <w:tblPr>
        <w:tblStyle w:val="TableGrid"/>
        <w:tblW w:w="0" w:type="auto"/>
        <w:tblInd w:w="90" w:type="dxa"/>
        <w:tblLayout w:type="fixed"/>
        <w:tblLook w:val="04A0" w:firstRow="1" w:lastRow="0" w:firstColumn="1" w:lastColumn="0" w:noHBand="0" w:noVBand="1"/>
      </w:tblPr>
      <w:tblGrid>
        <w:gridCol w:w="648"/>
        <w:gridCol w:w="900"/>
        <w:gridCol w:w="630"/>
        <w:gridCol w:w="3060"/>
        <w:gridCol w:w="630"/>
        <w:gridCol w:w="630"/>
        <w:gridCol w:w="2988"/>
      </w:tblGrid>
      <w:tr w:rsidR="00616702" w:rsidTr="00BD2B20">
        <w:tc>
          <w:tcPr>
            <w:tcW w:w="648" w:type="dxa"/>
          </w:tcPr>
          <w:p w:rsidR="00E622DB" w:rsidRPr="004E5D63" w:rsidRDefault="00C02436" w:rsidP="00E41B6E">
            <w:pPr>
              <w:pStyle w:val="ListParagraph"/>
              <w:ind w:left="0"/>
              <w:rPr>
                <w:rFonts w:ascii="Garamond" w:hAnsi="Garamond" w:cs="Times New Roman"/>
                <w:b/>
                <w:color w:val="000000"/>
                <w:sz w:val="24"/>
                <w:szCs w:val="24"/>
              </w:rPr>
            </w:pPr>
            <w:r w:rsidRPr="004E5D63">
              <w:rPr>
                <w:rFonts w:ascii="Garamond" w:hAnsi="Garamond" w:cs="Times New Roman"/>
                <w:b/>
                <w:color w:val="000000"/>
                <w:sz w:val="24"/>
                <w:szCs w:val="24"/>
              </w:rPr>
              <w:t xml:space="preserve">Total </w:t>
            </w:r>
          </w:p>
        </w:tc>
        <w:tc>
          <w:tcPr>
            <w:tcW w:w="900"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belief</w:t>
            </w:r>
          </w:p>
        </w:tc>
        <w:tc>
          <w:tcPr>
            <w:tcW w:w="630"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w:t>
            </w:r>
          </w:p>
        </w:tc>
        <w:tc>
          <w:tcPr>
            <w:tcW w:w="3060"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practice</w:t>
            </w:r>
          </w:p>
        </w:tc>
        <w:tc>
          <w:tcPr>
            <w:tcW w:w="630"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Not belief</w:t>
            </w:r>
          </w:p>
        </w:tc>
        <w:tc>
          <w:tcPr>
            <w:tcW w:w="630"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w:t>
            </w:r>
          </w:p>
        </w:tc>
        <w:tc>
          <w:tcPr>
            <w:tcW w:w="2988" w:type="dxa"/>
          </w:tcPr>
          <w:p w:rsidR="00E622DB" w:rsidRPr="004E5D63" w:rsidRDefault="00C02436" w:rsidP="00E41B6E">
            <w:pPr>
              <w:rPr>
                <w:rFonts w:ascii="Garamond" w:hAnsi="Garamond" w:cs="Times New Roman"/>
                <w:b/>
                <w:sz w:val="24"/>
                <w:szCs w:val="24"/>
              </w:rPr>
            </w:pPr>
            <w:r w:rsidRPr="004E5D63">
              <w:rPr>
                <w:rFonts w:ascii="Garamond" w:hAnsi="Garamond" w:cs="Times New Roman"/>
                <w:b/>
                <w:sz w:val="24"/>
                <w:szCs w:val="24"/>
              </w:rPr>
              <w:t>practice</w:t>
            </w:r>
          </w:p>
        </w:tc>
      </w:tr>
      <w:tr w:rsidR="00616702" w:rsidTr="00BD2B20">
        <w:tc>
          <w:tcPr>
            <w:tcW w:w="648" w:type="dxa"/>
          </w:tcPr>
          <w:p w:rsidR="00E622DB" w:rsidRPr="004E5D63" w:rsidRDefault="00C02436" w:rsidP="00E41B6E">
            <w:pPr>
              <w:pStyle w:val="ListParagraph"/>
              <w:ind w:left="0"/>
              <w:rPr>
                <w:rFonts w:ascii="Garamond" w:hAnsi="Garamond" w:cs="Times New Roman"/>
                <w:color w:val="000000"/>
                <w:sz w:val="24"/>
                <w:szCs w:val="24"/>
              </w:rPr>
            </w:pPr>
            <w:r w:rsidRPr="004E5D63">
              <w:rPr>
                <w:rFonts w:ascii="Garamond" w:hAnsi="Garamond" w:cs="Times New Roman"/>
                <w:color w:val="000000"/>
                <w:sz w:val="24"/>
                <w:szCs w:val="24"/>
              </w:rPr>
              <w:t>200</w:t>
            </w:r>
          </w:p>
        </w:tc>
        <w:tc>
          <w:tcPr>
            <w:tcW w:w="900" w:type="dxa"/>
          </w:tcPr>
          <w:p w:rsidR="00E622DB" w:rsidRPr="004E5D63" w:rsidRDefault="00C02436" w:rsidP="00E41B6E">
            <w:pPr>
              <w:pStyle w:val="ListParagraph"/>
              <w:ind w:left="0"/>
              <w:rPr>
                <w:rFonts w:ascii="Garamond" w:hAnsi="Garamond" w:cs="Times New Roman"/>
                <w:color w:val="000000"/>
                <w:sz w:val="24"/>
                <w:szCs w:val="24"/>
              </w:rPr>
            </w:pPr>
            <w:r w:rsidRPr="004E5D63">
              <w:rPr>
                <w:rFonts w:ascii="Garamond" w:hAnsi="Garamond" w:cs="Times New Roman"/>
                <w:color w:val="000000"/>
                <w:sz w:val="24"/>
                <w:szCs w:val="24"/>
              </w:rPr>
              <w:t>149</w:t>
            </w:r>
          </w:p>
        </w:tc>
        <w:tc>
          <w:tcPr>
            <w:tcW w:w="630" w:type="dxa"/>
          </w:tcPr>
          <w:p w:rsidR="00E622DB" w:rsidRPr="004E5D63" w:rsidRDefault="00C02436" w:rsidP="00E41B6E">
            <w:pPr>
              <w:pStyle w:val="ListParagraph"/>
              <w:ind w:left="0"/>
              <w:rPr>
                <w:rFonts w:ascii="Garamond" w:hAnsi="Garamond" w:cs="Times New Roman"/>
                <w:color w:val="000000"/>
                <w:sz w:val="24"/>
                <w:szCs w:val="24"/>
              </w:rPr>
            </w:pPr>
            <w:r w:rsidRPr="004E5D63">
              <w:rPr>
                <w:rFonts w:ascii="Garamond" w:hAnsi="Garamond" w:cs="Times New Roman"/>
                <w:color w:val="000000"/>
                <w:sz w:val="24"/>
                <w:szCs w:val="24"/>
              </w:rPr>
              <w:t>74,5</w:t>
            </w:r>
          </w:p>
        </w:tc>
        <w:tc>
          <w:tcPr>
            <w:tcW w:w="3060" w:type="dxa"/>
          </w:tcPr>
          <w:p w:rsidR="00FE26C4" w:rsidRPr="004E5D63" w:rsidRDefault="00C02436" w:rsidP="00E41B6E">
            <w:pPr>
              <w:pStyle w:val="ListParagraph"/>
              <w:ind w:left="90"/>
              <w:rPr>
                <w:rFonts w:ascii="Garamond" w:hAnsi="Garamond" w:cs="Times New Roman"/>
                <w:color w:val="000000"/>
                <w:sz w:val="24"/>
                <w:szCs w:val="24"/>
              </w:rPr>
            </w:pPr>
            <w:r w:rsidRPr="004E5D63">
              <w:rPr>
                <w:rFonts w:ascii="Garamond" w:eastAsia="Times New Roman" w:hAnsi="Garamond" w:cs="Times New Roman"/>
                <w:color w:val="222222"/>
                <w:sz w:val="24"/>
                <w:szCs w:val="24"/>
                <w:lang w:val="en"/>
              </w:rPr>
              <w:t>they addressed each other's name by mentioning their husbands' names: a lack of self-confidence which is influenced by their habits of always glorifying their husbands in all their activities and Javanese Culture in the city of Blitar still binds them</w:t>
            </w:r>
          </w:p>
          <w:p w:rsidR="00FE26C4" w:rsidRPr="004E5D63" w:rsidRDefault="00FE26C4" w:rsidP="00E41B6E">
            <w:pPr>
              <w:pStyle w:val="ListParagraph"/>
              <w:ind w:left="90"/>
              <w:rPr>
                <w:rFonts w:ascii="Garamond" w:hAnsi="Garamond" w:cs="Times New Roman"/>
                <w:color w:val="000000"/>
                <w:sz w:val="24"/>
                <w:szCs w:val="24"/>
              </w:rPr>
            </w:pPr>
          </w:p>
          <w:p w:rsidR="00E622DB" w:rsidRPr="004E5D63" w:rsidRDefault="00E622DB" w:rsidP="00E41B6E">
            <w:pPr>
              <w:pStyle w:val="ListParagraph"/>
              <w:ind w:left="0"/>
              <w:rPr>
                <w:rFonts w:ascii="Garamond" w:eastAsia="Times New Roman" w:hAnsi="Garamond" w:cs="Times New Roman"/>
                <w:color w:val="222222"/>
                <w:sz w:val="24"/>
                <w:szCs w:val="24"/>
                <w:lang w:val="en"/>
              </w:rPr>
            </w:pPr>
          </w:p>
          <w:p w:rsidR="00FE26C4" w:rsidRPr="004E5D63" w:rsidRDefault="00FE26C4" w:rsidP="00E41B6E">
            <w:pPr>
              <w:pStyle w:val="ListParagraph"/>
              <w:rPr>
                <w:rFonts w:ascii="Garamond" w:hAnsi="Garamond" w:cs="Times New Roman"/>
                <w:color w:val="000000"/>
                <w:sz w:val="24"/>
                <w:szCs w:val="24"/>
              </w:rPr>
            </w:pPr>
          </w:p>
        </w:tc>
        <w:tc>
          <w:tcPr>
            <w:tcW w:w="630" w:type="dxa"/>
          </w:tcPr>
          <w:p w:rsidR="00E622DB" w:rsidRPr="004E5D63" w:rsidRDefault="00C02436" w:rsidP="00E41B6E">
            <w:pPr>
              <w:pStyle w:val="ListParagraph"/>
              <w:ind w:left="0"/>
              <w:rPr>
                <w:rFonts w:ascii="Garamond" w:hAnsi="Garamond" w:cs="Times New Roman"/>
                <w:color w:val="000000"/>
                <w:sz w:val="24"/>
                <w:szCs w:val="24"/>
              </w:rPr>
            </w:pPr>
            <w:r w:rsidRPr="004E5D63">
              <w:rPr>
                <w:rFonts w:ascii="Garamond" w:hAnsi="Garamond" w:cs="Times New Roman"/>
                <w:color w:val="000000"/>
                <w:sz w:val="24"/>
                <w:szCs w:val="24"/>
              </w:rPr>
              <w:t>51</w:t>
            </w:r>
          </w:p>
        </w:tc>
        <w:tc>
          <w:tcPr>
            <w:tcW w:w="630" w:type="dxa"/>
          </w:tcPr>
          <w:p w:rsidR="00E622DB" w:rsidRPr="004E5D63" w:rsidRDefault="00C02436" w:rsidP="00E41B6E">
            <w:pPr>
              <w:pStyle w:val="ListParagraph"/>
              <w:ind w:left="0"/>
              <w:rPr>
                <w:rFonts w:ascii="Garamond" w:hAnsi="Garamond" w:cs="Times New Roman"/>
                <w:color w:val="000000"/>
                <w:sz w:val="24"/>
                <w:szCs w:val="24"/>
              </w:rPr>
            </w:pPr>
            <w:r w:rsidRPr="004E5D63">
              <w:rPr>
                <w:rFonts w:ascii="Garamond" w:hAnsi="Garamond" w:cs="Times New Roman"/>
                <w:color w:val="000000"/>
                <w:sz w:val="24"/>
                <w:szCs w:val="24"/>
              </w:rPr>
              <w:t>25,5</w:t>
            </w:r>
          </w:p>
        </w:tc>
        <w:tc>
          <w:tcPr>
            <w:tcW w:w="2988" w:type="dxa"/>
          </w:tcPr>
          <w:p w:rsidR="00D12731" w:rsidRPr="004E5D63" w:rsidRDefault="00C02436" w:rsidP="00E41B6E">
            <w:pPr>
              <w:pStyle w:val="HTMLPreformatted"/>
              <w:shd w:val="clear" w:color="auto" w:fill="F8F9FA"/>
              <w:rPr>
                <w:rFonts w:ascii="Garamond" w:hAnsi="Garamond" w:cs="Times New Roman"/>
                <w:color w:val="222222"/>
                <w:sz w:val="24"/>
                <w:szCs w:val="24"/>
              </w:rPr>
            </w:pPr>
            <w:r w:rsidRPr="004E5D63">
              <w:rPr>
                <w:rFonts w:ascii="Garamond" w:hAnsi="Garamond" w:cs="Times New Roman"/>
                <w:color w:val="222222"/>
                <w:sz w:val="24"/>
                <w:szCs w:val="24"/>
                <w:lang w:val="en"/>
              </w:rPr>
              <w:t>they addressed each other's name by mentioning their original name, felt more familiar when calling their real names because they are used to getting real names, and  no longer believing in Javanese customs</w:t>
            </w:r>
          </w:p>
          <w:p w:rsidR="00E622DB" w:rsidRPr="004E5D63" w:rsidRDefault="00E622DB" w:rsidP="00E41B6E">
            <w:pPr>
              <w:pStyle w:val="ListParagraph"/>
              <w:ind w:left="0"/>
              <w:rPr>
                <w:rFonts w:ascii="Garamond" w:hAnsi="Garamond" w:cs="Times New Roman"/>
                <w:color w:val="000000"/>
                <w:sz w:val="24"/>
                <w:szCs w:val="24"/>
              </w:rPr>
            </w:pPr>
          </w:p>
        </w:tc>
      </w:tr>
    </w:tbl>
    <w:p w:rsidR="00C178A5" w:rsidRPr="004E5D63" w:rsidRDefault="00C178A5" w:rsidP="00E41B6E">
      <w:pPr>
        <w:pStyle w:val="ListParagraph"/>
        <w:spacing w:line="240" w:lineRule="auto"/>
        <w:ind w:left="90"/>
        <w:rPr>
          <w:rFonts w:ascii="Garamond" w:hAnsi="Garamond" w:cs="Times New Roman"/>
          <w:color w:val="000000"/>
          <w:sz w:val="24"/>
          <w:szCs w:val="24"/>
        </w:rPr>
      </w:pPr>
    </w:p>
    <w:p w:rsidR="00CD7BEA" w:rsidRPr="004E5D63" w:rsidRDefault="00C02436" w:rsidP="00E41B6E">
      <w:pPr>
        <w:pStyle w:val="ListParagraph"/>
        <w:spacing w:line="240" w:lineRule="auto"/>
        <w:ind w:left="90"/>
        <w:rPr>
          <w:rFonts w:ascii="Garamond" w:hAnsi="Garamond" w:cs="Times New Roman"/>
          <w:color w:val="000000"/>
          <w:sz w:val="24"/>
          <w:szCs w:val="24"/>
        </w:rPr>
      </w:pPr>
      <w:r w:rsidRPr="004E5D63">
        <w:rPr>
          <w:rFonts w:ascii="Garamond" w:hAnsi="Garamond" w:cs="Times New Roman"/>
          <w:color w:val="000000"/>
          <w:sz w:val="24"/>
          <w:szCs w:val="24"/>
        </w:rPr>
        <w:t xml:space="preserve">Following the table, it is shown that </w:t>
      </w:r>
      <w:r w:rsidR="00F0677D" w:rsidRPr="004E5D63">
        <w:rPr>
          <w:rFonts w:ascii="Garamond" w:hAnsi="Garamond" w:cs="Times New Roman"/>
          <w:color w:val="000000"/>
          <w:sz w:val="24"/>
          <w:szCs w:val="24"/>
        </w:rPr>
        <w:t>total participants who believe</w:t>
      </w:r>
      <w:r w:rsidRPr="004E5D63">
        <w:rPr>
          <w:rFonts w:ascii="Garamond" w:hAnsi="Garamond" w:cs="Times New Roman"/>
          <w:color w:val="000000"/>
          <w:sz w:val="24"/>
          <w:szCs w:val="24"/>
        </w:rPr>
        <w:t xml:space="preserve"> local wisdom reach 149 as it counts 74</w:t>
      </w:r>
      <w:proofErr w:type="gramStart"/>
      <w:r w:rsidRPr="004E5D63">
        <w:rPr>
          <w:rFonts w:ascii="Garamond" w:hAnsi="Garamond" w:cs="Times New Roman"/>
          <w:color w:val="000000"/>
          <w:sz w:val="24"/>
          <w:szCs w:val="24"/>
        </w:rPr>
        <w:t>,5</w:t>
      </w:r>
      <w:proofErr w:type="gramEnd"/>
      <w:r w:rsidRPr="004E5D63">
        <w:rPr>
          <w:rFonts w:ascii="Garamond" w:hAnsi="Garamond" w:cs="Times New Roman"/>
          <w:color w:val="000000"/>
          <w:sz w:val="24"/>
          <w:szCs w:val="24"/>
        </w:rPr>
        <w:t xml:space="preserve"> % while </w:t>
      </w:r>
      <w:r w:rsidR="00F0677D" w:rsidRPr="004E5D63">
        <w:rPr>
          <w:rFonts w:ascii="Garamond" w:hAnsi="Garamond" w:cs="Times New Roman"/>
          <w:color w:val="000000"/>
          <w:sz w:val="24"/>
          <w:szCs w:val="24"/>
        </w:rPr>
        <w:t xml:space="preserve">they who do not believe local wisdom only get 51 as it </w:t>
      </w:r>
      <w:r w:rsidR="00FD4C53">
        <w:rPr>
          <w:rFonts w:ascii="Garamond" w:hAnsi="Garamond" w:cs="Times New Roman"/>
          <w:color w:val="000000"/>
          <w:sz w:val="24"/>
          <w:szCs w:val="24"/>
        </w:rPr>
        <w:t>is</w:t>
      </w:r>
      <w:r w:rsidR="00F0677D" w:rsidRPr="004E5D63">
        <w:rPr>
          <w:rFonts w:ascii="Garamond" w:hAnsi="Garamond" w:cs="Times New Roman"/>
          <w:color w:val="000000"/>
          <w:sz w:val="24"/>
          <w:szCs w:val="24"/>
        </w:rPr>
        <w:t xml:space="preserve"> on 25,5 %</w:t>
      </w:r>
      <w:r w:rsidR="002472B4" w:rsidRPr="004E5D63">
        <w:rPr>
          <w:rFonts w:ascii="Garamond" w:hAnsi="Garamond" w:cs="Times New Roman"/>
          <w:color w:val="000000"/>
          <w:sz w:val="24"/>
          <w:szCs w:val="24"/>
        </w:rPr>
        <w:t xml:space="preserve"> </w:t>
      </w:r>
      <w:r w:rsidRPr="004E5D63">
        <w:rPr>
          <w:rFonts w:ascii="Garamond" w:hAnsi="Garamond" w:cs="Times New Roman"/>
          <w:color w:val="000000"/>
          <w:sz w:val="24"/>
          <w:szCs w:val="24"/>
        </w:rPr>
        <w:br/>
      </w:r>
    </w:p>
    <w:p w:rsidR="00C26166" w:rsidRPr="004E5D63" w:rsidRDefault="00C02436" w:rsidP="00C26166">
      <w:pPr>
        <w:pStyle w:val="ListParagraph"/>
        <w:spacing w:line="240" w:lineRule="auto"/>
        <w:ind w:left="90"/>
        <w:rPr>
          <w:rFonts w:ascii="Garamond" w:hAnsi="Garamond" w:cs="Times New Roman"/>
          <w:b/>
          <w:color w:val="000000"/>
          <w:sz w:val="24"/>
          <w:szCs w:val="24"/>
        </w:rPr>
      </w:pPr>
      <w:r w:rsidRPr="004E5D63">
        <w:rPr>
          <w:rFonts w:ascii="Garamond" w:hAnsi="Garamond" w:cs="Times New Roman"/>
          <w:noProof/>
          <w:color w:val="000000"/>
          <w:sz w:val="24"/>
          <w:szCs w:val="24"/>
        </w:rPr>
        <w:drawing>
          <wp:inline distT="0" distB="0" distL="0" distR="0" wp14:anchorId="5B80D214" wp14:editId="78081F81">
            <wp:extent cx="4912468" cy="1825872"/>
            <wp:effectExtent l="0" t="0" r="2540" b="3175"/>
            <wp:docPr id="1" name="Picture 1" descr="D:\semester 3 2020 unesa\literature and education seminar\foto pengambilan data\figure 5 diskusi antara bapak dan ibu dalam kegiatan PKK kota Bli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81586" name="Picture 1" descr="D:\semester 3 2020 unesa\literature and education seminar\foto pengambilan data\figure 5 diskusi antara bapak dan ibu dalam kegiatan PKK kota Blitar.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27243" cy="1831364"/>
                    </a:xfrm>
                    <a:prstGeom prst="rect">
                      <a:avLst/>
                    </a:prstGeom>
                    <a:noFill/>
                    <a:ln>
                      <a:noFill/>
                    </a:ln>
                  </pic:spPr>
                </pic:pic>
              </a:graphicData>
            </a:graphic>
          </wp:inline>
        </w:drawing>
      </w:r>
    </w:p>
    <w:p w:rsidR="00C26166" w:rsidRPr="004E5D63" w:rsidRDefault="00C26166" w:rsidP="00C26166">
      <w:pPr>
        <w:pStyle w:val="ListParagraph"/>
        <w:spacing w:line="240" w:lineRule="auto"/>
        <w:ind w:left="90"/>
        <w:rPr>
          <w:rFonts w:ascii="Garamond" w:hAnsi="Garamond" w:cs="Times New Roman"/>
          <w:b/>
          <w:color w:val="000000"/>
          <w:sz w:val="24"/>
          <w:szCs w:val="24"/>
        </w:rPr>
      </w:pPr>
    </w:p>
    <w:p w:rsidR="00C26166" w:rsidRPr="004E5D63" w:rsidRDefault="00072767" w:rsidP="00C26166">
      <w:pPr>
        <w:pStyle w:val="ListParagraph"/>
        <w:spacing w:line="240" w:lineRule="auto"/>
        <w:ind w:left="90"/>
        <w:rPr>
          <w:rFonts w:ascii="Garamond" w:hAnsi="Garamond" w:cs="Times New Roman"/>
          <w:color w:val="000000"/>
        </w:rPr>
      </w:pPr>
      <w:proofErr w:type="gramStart"/>
      <w:r>
        <w:rPr>
          <w:rFonts w:ascii="Garamond" w:hAnsi="Garamond" w:cs="Times New Roman"/>
          <w:b/>
          <w:color w:val="000000"/>
          <w:sz w:val="24"/>
          <w:szCs w:val="24"/>
        </w:rPr>
        <w:t>Figure 1</w:t>
      </w:r>
      <w:r w:rsidR="00C02436" w:rsidRPr="004E5D63">
        <w:rPr>
          <w:rFonts w:ascii="Garamond" w:hAnsi="Garamond" w:cs="Times New Roman"/>
          <w:b/>
          <w:color w:val="000000"/>
          <w:sz w:val="24"/>
          <w:szCs w:val="24"/>
        </w:rPr>
        <w:t>.</w:t>
      </w:r>
      <w:proofErr w:type="gramEnd"/>
      <w:r w:rsidR="00C02436" w:rsidRPr="004E5D63">
        <w:rPr>
          <w:rFonts w:ascii="Garamond" w:hAnsi="Garamond" w:cs="Times New Roman"/>
          <w:b/>
          <w:color w:val="000000"/>
          <w:sz w:val="24"/>
          <w:szCs w:val="24"/>
        </w:rPr>
        <w:t xml:space="preserve"> </w:t>
      </w:r>
      <w:r w:rsidR="00C02436" w:rsidRPr="004E5D63">
        <w:rPr>
          <w:rFonts w:ascii="Garamond" w:hAnsi="Garamond"/>
          <w:color w:val="222222"/>
          <w:lang w:val="en"/>
        </w:rPr>
        <w:t>Discussions between ladies and gentlemen in PKK activities</w:t>
      </w:r>
      <w:r w:rsidR="00452926">
        <w:rPr>
          <w:rFonts w:ascii="Garamond" w:hAnsi="Garamond"/>
          <w:color w:val="222222"/>
          <w:lang w:val="en"/>
        </w:rPr>
        <w:t xml:space="preserve"> from</w:t>
      </w:r>
      <w:r w:rsidR="00C02436" w:rsidRPr="004E5D63">
        <w:rPr>
          <w:rFonts w:ascii="Garamond" w:hAnsi="Garamond"/>
          <w:color w:val="222222"/>
          <w:lang w:val="en"/>
        </w:rPr>
        <w:t xml:space="preserve"> three sub-districts</w:t>
      </w:r>
      <w:r w:rsidR="00452926">
        <w:rPr>
          <w:rFonts w:ascii="Garamond" w:hAnsi="Garamond"/>
          <w:color w:val="222222"/>
          <w:lang w:val="en"/>
        </w:rPr>
        <w:t xml:space="preserve">                     </w:t>
      </w:r>
      <w:proofErr w:type="gramStart"/>
      <w:r w:rsidR="00452926">
        <w:rPr>
          <w:rFonts w:ascii="Garamond" w:hAnsi="Garamond"/>
          <w:color w:val="222222"/>
          <w:lang w:val="en"/>
        </w:rPr>
        <w:t xml:space="preserve">( </w:t>
      </w:r>
      <w:proofErr w:type="spellStart"/>
      <w:r w:rsidR="00452926">
        <w:rPr>
          <w:rFonts w:ascii="Garamond" w:hAnsi="Garamond"/>
          <w:color w:val="222222"/>
          <w:lang w:val="en"/>
        </w:rPr>
        <w:t>Sananwetan</w:t>
      </w:r>
      <w:proofErr w:type="spellEnd"/>
      <w:proofErr w:type="gramEnd"/>
      <w:r w:rsidR="00452926">
        <w:rPr>
          <w:rFonts w:ascii="Garamond" w:hAnsi="Garamond"/>
          <w:color w:val="222222"/>
          <w:lang w:val="en"/>
        </w:rPr>
        <w:t xml:space="preserve">, </w:t>
      </w:r>
      <w:proofErr w:type="spellStart"/>
      <w:r w:rsidR="00452926">
        <w:rPr>
          <w:rFonts w:ascii="Garamond" w:hAnsi="Garamond"/>
          <w:color w:val="222222"/>
          <w:lang w:val="en"/>
        </w:rPr>
        <w:t>kepanjen</w:t>
      </w:r>
      <w:proofErr w:type="spellEnd"/>
      <w:r w:rsidR="00452926">
        <w:rPr>
          <w:rFonts w:ascii="Garamond" w:hAnsi="Garamond"/>
          <w:color w:val="222222"/>
          <w:lang w:val="en"/>
        </w:rPr>
        <w:t xml:space="preserve"> </w:t>
      </w:r>
      <w:proofErr w:type="spellStart"/>
      <w:r w:rsidR="00452926">
        <w:rPr>
          <w:rFonts w:ascii="Garamond" w:hAnsi="Garamond"/>
          <w:color w:val="222222"/>
          <w:lang w:val="en"/>
        </w:rPr>
        <w:t>Kidul</w:t>
      </w:r>
      <w:proofErr w:type="spellEnd"/>
      <w:r w:rsidR="00452926">
        <w:rPr>
          <w:rFonts w:ascii="Garamond" w:hAnsi="Garamond"/>
          <w:color w:val="222222"/>
          <w:lang w:val="en"/>
        </w:rPr>
        <w:t xml:space="preserve">, </w:t>
      </w:r>
      <w:r w:rsidR="007C03F0">
        <w:rPr>
          <w:rFonts w:ascii="Garamond" w:hAnsi="Garamond"/>
          <w:color w:val="222222"/>
          <w:lang w:val="en"/>
        </w:rPr>
        <w:t xml:space="preserve">and </w:t>
      </w:r>
      <w:proofErr w:type="spellStart"/>
      <w:r w:rsidR="00452926">
        <w:rPr>
          <w:rFonts w:ascii="Garamond" w:hAnsi="Garamond"/>
          <w:color w:val="222222"/>
          <w:lang w:val="en"/>
        </w:rPr>
        <w:t>Sukorejo</w:t>
      </w:r>
      <w:proofErr w:type="spellEnd"/>
      <w:r w:rsidR="00452926">
        <w:rPr>
          <w:rFonts w:ascii="Garamond" w:hAnsi="Garamond"/>
          <w:color w:val="222222"/>
          <w:lang w:val="en"/>
        </w:rPr>
        <w:t xml:space="preserve"> ) </w:t>
      </w:r>
      <w:r w:rsidR="00C02436" w:rsidRPr="004E5D63">
        <w:rPr>
          <w:rFonts w:ascii="Garamond" w:hAnsi="Garamond"/>
          <w:color w:val="222222"/>
          <w:lang w:val="en"/>
        </w:rPr>
        <w:t xml:space="preserve"> in </w:t>
      </w:r>
      <w:proofErr w:type="spellStart"/>
      <w:r w:rsidR="00C02436" w:rsidRPr="004E5D63">
        <w:rPr>
          <w:rFonts w:ascii="Garamond" w:hAnsi="Garamond"/>
          <w:color w:val="222222"/>
          <w:lang w:val="en"/>
        </w:rPr>
        <w:t>Blitar</w:t>
      </w:r>
      <w:proofErr w:type="spellEnd"/>
      <w:r w:rsidR="00C02436" w:rsidRPr="004E5D63">
        <w:rPr>
          <w:rFonts w:ascii="Garamond" w:hAnsi="Garamond"/>
          <w:color w:val="222222"/>
          <w:lang w:val="en"/>
        </w:rPr>
        <w:t xml:space="preserve"> </w:t>
      </w:r>
    </w:p>
    <w:p w:rsidR="00C26166" w:rsidRPr="004E5D63" w:rsidRDefault="00C26166" w:rsidP="00E41B6E">
      <w:pPr>
        <w:pStyle w:val="ListParagraph"/>
        <w:spacing w:line="240" w:lineRule="auto"/>
        <w:ind w:left="90"/>
        <w:rPr>
          <w:rFonts w:ascii="Garamond" w:hAnsi="Garamond" w:cs="Times New Roman"/>
          <w:b/>
          <w:color w:val="000000"/>
          <w:sz w:val="24"/>
          <w:szCs w:val="24"/>
        </w:rPr>
      </w:pPr>
    </w:p>
    <w:p w:rsidR="00C26166" w:rsidRDefault="00C02436" w:rsidP="00C26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222222"/>
          <w:sz w:val="24"/>
          <w:szCs w:val="24"/>
          <w:lang w:val="en"/>
        </w:rPr>
      </w:pPr>
      <w:r w:rsidRPr="00C26166">
        <w:rPr>
          <w:rFonts w:ascii="Garamond" w:eastAsia="Times New Roman" w:hAnsi="Garamond" w:cs="Courier New"/>
          <w:color w:val="222222"/>
          <w:sz w:val="24"/>
          <w:szCs w:val="24"/>
          <w:lang w:val="en"/>
        </w:rPr>
        <w:lastRenderedPageBreak/>
        <w:t>The photo above illustrates that the belief in respect for men is still strong because they strongly believe in local wisdom belief since a long time ago even though they work in an equal place.</w:t>
      </w:r>
    </w:p>
    <w:p w:rsidR="004E5D63" w:rsidRDefault="004E5D63" w:rsidP="00C26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222222"/>
          <w:sz w:val="24"/>
          <w:szCs w:val="24"/>
          <w:lang w:val="en"/>
        </w:rPr>
      </w:pPr>
    </w:p>
    <w:p w:rsidR="004E5D63" w:rsidRPr="00C26166" w:rsidRDefault="004E5D63" w:rsidP="00C261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222222"/>
          <w:sz w:val="24"/>
          <w:szCs w:val="24"/>
        </w:rPr>
      </w:pPr>
    </w:p>
    <w:p w:rsidR="00C26166" w:rsidRPr="004E5D63" w:rsidRDefault="00C26166" w:rsidP="00C26166">
      <w:pPr>
        <w:pStyle w:val="ListParagraph"/>
        <w:spacing w:line="240" w:lineRule="auto"/>
        <w:ind w:left="90"/>
        <w:jc w:val="both"/>
        <w:rPr>
          <w:rFonts w:ascii="Garamond" w:hAnsi="Garamond" w:cs="Times New Roman"/>
          <w:b/>
          <w:color w:val="000000"/>
          <w:sz w:val="24"/>
          <w:szCs w:val="24"/>
        </w:rPr>
      </w:pPr>
    </w:p>
    <w:p w:rsidR="003772C7" w:rsidRPr="004E5D63" w:rsidRDefault="00C02436" w:rsidP="00C26166">
      <w:pPr>
        <w:pStyle w:val="ListParagraph"/>
        <w:spacing w:line="240" w:lineRule="auto"/>
        <w:ind w:left="90"/>
        <w:rPr>
          <w:rFonts w:ascii="Garamond" w:hAnsi="Garamond" w:cs="Times New Roman"/>
          <w:b/>
          <w:color w:val="000000"/>
          <w:sz w:val="24"/>
          <w:szCs w:val="24"/>
        </w:rPr>
      </w:pPr>
      <w:r w:rsidRPr="004E5D63">
        <w:rPr>
          <w:rFonts w:ascii="Garamond" w:hAnsi="Garamond" w:cs="Times New Roman"/>
          <w:b/>
          <w:color w:val="000000"/>
          <w:sz w:val="24"/>
          <w:szCs w:val="24"/>
        </w:rPr>
        <w:t>Table 4.2 social status</w:t>
      </w:r>
    </w:p>
    <w:p w:rsidR="003772C7" w:rsidRPr="004E5D63" w:rsidRDefault="003772C7" w:rsidP="00E41B6E">
      <w:pPr>
        <w:pStyle w:val="ListParagraph"/>
        <w:spacing w:line="240" w:lineRule="auto"/>
        <w:ind w:left="90"/>
        <w:rPr>
          <w:rFonts w:ascii="Garamond" w:hAnsi="Garamond" w:cs="Times New Roman"/>
          <w:b/>
          <w:sz w:val="24"/>
          <w:szCs w:val="24"/>
        </w:rPr>
      </w:pPr>
    </w:p>
    <w:tbl>
      <w:tblPr>
        <w:tblStyle w:val="TableGrid"/>
        <w:tblW w:w="0" w:type="auto"/>
        <w:tblInd w:w="90" w:type="dxa"/>
        <w:tblLook w:val="04A0" w:firstRow="1" w:lastRow="0" w:firstColumn="1" w:lastColumn="0" w:noHBand="0" w:noVBand="1"/>
      </w:tblPr>
      <w:tblGrid>
        <w:gridCol w:w="1548"/>
        <w:gridCol w:w="1350"/>
        <w:gridCol w:w="810"/>
        <w:gridCol w:w="818"/>
        <w:gridCol w:w="4960"/>
      </w:tblGrid>
      <w:tr w:rsidR="00616702" w:rsidTr="006E5586">
        <w:tc>
          <w:tcPr>
            <w:tcW w:w="1548" w:type="dxa"/>
          </w:tcPr>
          <w:p w:rsidR="006E5586"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Male occupation</w:t>
            </w:r>
          </w:p>
        </w:tc>
        <w:tc>
          <w:tcPr>
            <w:tcW w:w="1350" w:type="dxa"/>
          </w:tcPr>
          <w:p w:rsidR="006E5586"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color w:val="000000"/>
                <w:sz w:val="24"/>
                <w:szCs w:val="24"/>
              </w:rPr>
              <w:t>social status</w:t>
            </w:r>
          </w:p>
        </w:tc>
        <w:tc>
          <w:tcPr>
            <w:tcW w:w="810" w:type="dxa"/>
          </w:tcPr>
          <w:p w:rsidR="006E5586"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total</w:t>
            </w:r>
          </w:p>
        </w:tc>
        <w:tc>
          <w:tcPr>
            <w:tcW w:w="818" w:type="dxa"/>
          </w:tcPr>
          <w:p w:rsidR="006E5586"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w:t>
            </w:r>
          </w:p>
        </w:tc>
        <w:tc>
          <w:tcPr>
            <w:tcW w:w="4960" w:type="dxa"/>
          </w:tcPr>
          <w:p w:rsidR="006E5586"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practice</w:t>
            </w:r>
          </w:p>
        </w:tc>
      </w:tr>
      <w:tr w:rsidR="00616702" w:rsidTr="006E5586">
        <w:tc>
          <w:tcPr>
            <w:tcW w:w="1548" w:type="dxa"/>
          </w:tcPr>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Government official</w:t>
            </w:r>
          </w:p>
          <w:p w:rsidR="003772C7" w:rsidRPr="004E5D63" w:rsidRDefault="00C02436" w:rsidP="00E41B6E">
            <w:pPr>
              <w:pStyle w:val="ListParagraph"/>
              <w:ind w:left="0"/>
              <w:rPr>
                <w:rFonts w:ascii="Garamond" w:hAnsi="Garamond" w:cs="Times New Roman"/>
                <w:sz w:val="24"/>
                <w:szCs w:val="24"/>
              </w:rPr>
            </w:pPr>
            <w:r w:rsidRPr="004E5D63">
              <w:rPr>
                <w:rFonts w:ascii="Garamond" w:eastAsia="Times New Roman" w:hAnsi="Garamond" w:cs="Times New Roman"/>
                <w:color w:val="222222"/>
                <w:sz w:val="24"/>
                <w:szCs w:val="24"/>
                <w:lang w:val="en"/>
              </w:rPr>
              <w:t>Successful entrepreneur</w:t>
            </w:r>
          </w:p>
        </w:tc>
        <w:tc>
          <w:tcPr>
            <w:tcW w:w="1350" w:type="dxa"/>
          </w:tcPr>
          <w:p w:rsidR="003772C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High level</w:t>
            </w:r>
          </w:p>
        </w:tc>
        <w:tc>
          <w:tcPr>
            <w:tcW w:w="810" w:type="dxa"/>
          </w:tcPr>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91</w:t>
            </w:r>
          </w:p>
          <w:p w:rsidR="006E5586" w:rsidRPr="004E5D63" w:rsidRDefault="006E5586" w:rsidP="00E41B6E">
            <w:pPr>
              <w:pStyle w:val="ListParagraph"/>
              <w:ind w:left="0"/>
              <w:rPr>
                <w:rFonts w:ascii="Garamond" w:hAnsi="Garamond" w:cs="Times New Roman"/>
                <w:sz w:val="24"/>
                <w:szCs w:val="24"/>
              </w:rPr>
            </w:pPr>
          </w:p>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12</w:t>
            </w:r>
          </w:p>
          <w:p w:rsidR="003772C7" w:rsidRPr="004E5D63" w:rsidRDefault="003772C7" w:rsidP="00E41B6E">
            <w:pPr>
              <w:pStyle w:val="ListParagraph"/>
              <w:ind w:left="0"/>
              <w:rPr>
                <w:rFonts w:ascii="Garamond" w:hAnsi="Garamond" w:cs="Times New Roman"/>
                <w:sz w:val="24"/>
                <w:szCs w:val="24"/>
              </w:rPr>
            </w:pPr>
          </w:p>
        </w:tc>
        <w:tc>
          <w:tcPr>
            <w:tcW w:w="818" w:type="dxa"/>
          </w:tcPr>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45,5%</w:t>
            </w:r>
          </w:p>
          <w:p w:rsidR="006E5586" w:rsidRPr="004E5D63" w:rsidRDefault="006E5586" w:rsidP="00E41B6E">
            <w:pPr>
              <w:pStyle w:val="ListParagraph"/>
              <w:ind w:left="0"/>
              <w:rPr>
                <w:rFonts w:ascii="Garamond" w:hAnsi="Garamond" w:cs="Times New Roman"/>
                <w:sz w:val="24"/>
                <w:szCs w:val="24"/>
              </w:rPr>
            </w:pPr>
          </w:p>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6%</w:t>
            </w:r>
          </w:p>
          <w:p w:rsidR="003772C7" w:rsidRPr="004E5D63" w:rsidRDefault="003772C7" w:rsidP="00E41B6E">
            <w:pPr>
              <w:pStyle w:val="ListParagraph"/>
              <w:ind w:left="0"/>
              <w:rPr>
                <w:rFonts w:ascii="Garamond" w:hAnsi="Garamond" w:cs="Times New Roman"/>
                <w:sz w:val="24"/>
                <w:szCs w:val="24"/>
              </w:rPr>
            </w:pPr>
          </w:p>
        </w:tc>
        <w:tc>
          <w:tcPr>
            <w:tcW w:w="4960" w:type="dxa"/>
          </w:tcPr>
          <w:p w:rsidR="00162D18" w:rsidRPr="004E5D63" w:rsidRDefault="00C02436" w:rsidP="00E41B6E">
            <w:pPr>
              <w:pStyle w:val="ListParagraph"/>
              <w:ind w:left="90"/>
              <w:rPr>
                <w:rFonts w:ascii="Garamond" w:hAnsi="Garamond" w:cs="Times New Roman"/>
                <w:b/>
                <w:sz w:val="24"/>
                <w:szCs w:val="24"/>
              </w:rPr>
            </w:pPr>
            <w:r w:rsidRPr="004E5D63">
              <w:rPr>
                <w:rFonts w:ascii="Garamond" w:eastAsia="Times New Roman" w:hAnsi="Garamond" w:cs="Times New Roman"/>
                <w:color w:val="222222"/>
                <w:sz w:val="24"/>
                <w:szCs w:val="24"/>
                <w:lang w:val="en"/>
              </w:rPr>
              <w:t>they are more respected by others if the husband's name is always attached to every activity because of their social status from their husband</w:t>
            </w:r>
          </w:p>
          <w:p w:rsidR="003772C7" w:rsidRPr="004E5D63" w:rsidRDefault="003772C7" w:rsidP="00E41B6E">
            <w:pPr>
              <w:pStyle w:val="ListParagraph"/>
              <w:ind w:left="0"/>
              <w:rPr>
                <w:rFonts w:ascii="Garamond" w:hAnsi="Garamond" w:cs="Times New Roman"/>
                <w:b/>
                <w:sz w:val="24"/>
                <w:szCs w:val="24"/>
              </w:rPr>
            </w:pPr>
          </w:p>
        </w:tc>
      </w:tr>
      <w:tr w:rsidR="00616702" w:rsidTr="006E5586">
        <w:tc>
          <w:tcPr>
            <w:tcW w:w="1548" w:type="dxa"/>
          </w:tcPr>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 xml:space="preserve">Farmer </w:t>
            </w:r>
          </w:p>
          <w:p w:rsidR="006E558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Driver</w:t>
            </w:r>
          </w:p>
          <w:p w:rsidR="003772C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laborer</w:t>
            </w:r>
          </w:p>
        </w:tc>
        <w:tc>
          <w:tcPr>
            <w:tcW w:w="1350" w:type="dxa"/>
          </w:tcPr>
          <w:p w:rsidR="003772C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Low level</w:t>
            </w:r>
          </w:p>
        </w:tc>
        <w:tc>
          <w:tcPr>
            <w:tcW w:w="810" w:type="dxa"/>
          </w:tcPr>
          <w:p w:rsidR="00162D18" w:rsidRPr="004E5D63" w:rsidRDefault="00C02436" w:rsidP="00E41B6E">
            <w:pPr>
              <w:pStyle w:val="ListParagraph"/>
              <w:ind w:left="34"/>
              <w:rPr>
                <w:rFonts w:ascii="Garamond" w:hAnsi="Garamond" w:cs="Times New Roman"/>
                <w:sz w:val="24"/>
                <w:szCs w:val="24"/>
              </w:rPr>
            </w:pPr>
            <w:r w:rsidRPr="004E5D63">
              <w:rPr>
                <w:rFonts w:ascii="Garamond" w:hAnsi="Garamond" w:cs="Times New Roman"/>
                <w:sz w:val="24"/>
                <w:szCs w:val="24"/>
              </w:rPr>
              <w:t>48</w:t>
            </w:r>
          </w:p>
          <w:p w:rsidR="00162D18" w:rsidRPr="004E5D63" w:rsidRDefault="00C02436" w:rsidP="00E41B6E">
            <w:pPr>
              <w:pStyle w:val="ListParagraph"/>
              <w:ind w:left="34"/>
              <w:rPr>
                <w:rFonts w:ascii="Garamond" w:hAnsi="Garamond" w:cs="Times New Roman"/>
                <w:sz w:val="24"/>
                <w:szCs w:val="24"/>
              </w:rPr>
            </w:pPr>
            <w:r w:rsidRPr="004E5D63">
              <w:rPr>
                <w:rFonts w:ascii="Garamond" w:hAnsi="Garamond" w:cs="Times New Roman"/>
                <w:sz w:val="24"/>
                <w:szCs w:val="24"/>
              </w:rPr>
              <w:t>17</w:t>
            </w:r>
          </w:p>
          <w:p w:rsidR="003772C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32</w:t>
            </w:r>
          </w:p>
        </w:tc>
        <w:tc>
          <w:tcPr>
            <w:tcW w:w="818" w:type="dxa"/>
          </w:tcPr>
          <w:p w:rsidR="00162D18" w:rsidRPr="004E5D63" w:rsidRDefault="00C02436" w:rsidP="00E41B6E">
            <w:pPr>
              <w:pStyle w:val="ListParagraph"/>
              <w:ind w:left="80"/>
              <w:rPr>
                <w:rFonts w:ascii="Garamond" w:hAnsi="Garamond" w:cs="Times New Roman"/>
                <w:sz w:val="24"/>
                <w:szCs w:val="24"/>
              </w:rPr>
            </w:pPr>
            <w:r w:rsidRPr="004E5D63">
              <w:rPr>
                <w:rFonts w:ascii="Garamond" w:hAnsi="Garamond" w:cs="Times New Roman"/>
                <w:sz w:val="24"/>
                <w:szCs w:val="24"/>
              </w:rPr>
              <w:t>24%</w:t>
            </w:r>
          </w:p>
          <w:p w:rsidR="00162D18" w:rsidRPr="004E5D63" w:rsidRDefault="00C02436" w:rsidP="00E41B6E">
            <w:pPr>
              <w:pStyle w:val="ListParagraph"/>
              <w:ind w:left="80"/>
              <w:rPr>
                <w:rFonts w:ascii="Garamond" w:hAnsi="Garamond" w:cs="Times New Roman"/>
                <w:sz w:val="24"/>
                <w:szCs w:val="24"/>
              </w:rPr>
            </w:pPr>
            <w:r w:rsidRPr="004E5D63">
              <w:rPr>
                <w:rFonts w:ascii="Garamond" w:hAnsi="Garamond" w:cs="Times New Roman"/>
                <w:sz w:val="24"/>
                <w:szCs w:val="24"/>
              </w:rPr>
              <w:t>8,5%</w:t>
            </w:r>
          </w:p>
          <w:p w:rsidR="003772C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16%</w:t>
            </w:r>
          </w:p>
        </w:tc>
        <w:tc>
          <w:tcPr>
            <w:tcW w:w="4960" w:type="dxa"/>
          </w:tcPr>
          <w:p w:rsidR="00C82847"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Times New Roman" w:hAnsi="Garamond" w:cs="Times New Roman"/>
                <w:color w:val="222222"/>
                <w:sz w:val="24"/>
                <w:szCs w:val="24"/>
              </w:rPr>
            </w:pPr>
            <w:r w:rsidRPr="004E5D63">
              <w:rPr>
                <w:rFonts w:ascii="Garamond" w:eastAsia="Times New Roman" w:hAnsi="Garamond" w:cs="Times New Roman"/>
                <w:color w:val="222222"/>
                <w:sz w:val="24"/>
                <w:szCs w:val="24"/>
                <w:lang w:val="en"/>
              </w:rPr>
              <w:t>They feel the same as their husbands because there is no more respect for their husbands, so they often use their names as their activities' identity.</w:t>
            </w:r>
          </w:p>
          <w:p w:rsidR="003772C7" w:rsidRPr="004E5D63" w:rsidRDefault="003772C7" w:rsidP="00E41B6E">
            <w:pPr>
              <w:pStyle w:val="ListParagraph"/>
              <w:ind w:left="0"/>
              <w:rPr>
                <w:rFonts w:ascii="Garamond" w:hAnsi="Garamond" w:cs="Times New Roman"/>
                <w:b/>
                <w:sz w:val="24"/>
                <w:szCs w:val="24"/>
              </w:rPr>
            </w:pPr>
          </w:p>
        </w:tc>
      </w:tr>
    </w:tbl>
    <w:p w:rsidR="003772C7" w:rsidRPr="004E5D63" w:rsidRDefault="003772C7" w:rsidP="00E41B6E">
      <w:pPr>
        <w:pStyle w:val="ListParagraph"/>
        <w:spacing w:line="240" w:lineRule="auto"/>
        <w:ind w:left="90"/>
        <w:rPr>
          <w:rFonts w:ascii="Garamond" w:hAnsi="Garamond" w:cs="Times New Roman"/>
          <w:b/>
          <w:sz w:val="24"/>
          <w:szCs w:val="24"/>
        </w:rPr>
      </w:pPr>
    </w:p>
    <w:p w:rsidR="00162D18" w:rsidRPr="004E5D63" w:rsidRDefault="00C02436" w:rsidP="00E41B6E">
      <w:pPr>
        <w:pStyle w:val="ListParagraph"/>
        <w:spacing w:line="240" w:lineRule="auto"/>
        <w:ind w:left="90"/>
        <w:rPr>
          <w:rFonts w:ascii="Garamond" w:hAnsi="Garamond" w:cs="Times New Roman"/>
          <w:color w:val="000000"/>
          <w:sz w:val="24"/>
          <w:szCs w:val="24"/>
        </w:rPr>
      </w:pPr>
      <w:r w:rsidRPr="004E5D63">
        <w:rPr>
          <w:rFonts w:ascii="Garamond" w:hAnsi="Garamond" w:cs="Times New Roman"/>
          <w:color w:val="000000"/>
          <w:sz w:val="24"/>
          <w:szCs w:val="24"/>
        </w:rPr>
        <w:t xml:space="preserve">The table has shown that the male occupation in high-level social status reaches 103 as it accounts 51,5 %, on the other hand, the male profession in low-level social status gets 97 as it accounts </w:t>
      </w:r>
      <w:r w:rsidR="00E866A3" w:rsidRPr="004E5D63">
        <w:rPr>
          <w:rFonts w:ascii="Garamond" w:hAnsi="Garamond" w:cs="Times New Roman"/>
          <w:color w:val="000000"/>
          <w:sz w:val="24"/>
          <w:szCs w:val="24"/>
        </w:rPr>
        <w:t>48,5</w:t>
      </w:r>
      <w:r w:rsidRPr="004E5D63">
        <w:rPr>
          <w:rFonts w:ascii="Garamond" w:hAnsi="Garamond" w:cs="Times New Roman"/>
          <w:color w:val="000000"/>
          <w:sz w:val="24"/>
          <w:szCs w:val="24"/>
        </w:rPr>
        <w:t xml:space="preserve"> %</w:t>
      </w:r>
      <w:r w:rsidR="002472B4" w:rsidRPr="004E5D63">
        <w:rPr>
          <w:rFonts w:ascii="Garamond" w:hAnsi="Garamond" w:cs="Times New Roman"/>
          <w:color w:val="000000"/>
          <w:sz w:val="24"/>
          <w:szCs w:val="24"/>
        </w:rPr>
        <w:t xml:space="preserve"> </w:t>
      </w:r>
    </w:p>
    <w:p w:rsidR="00BC4004" w:rsidRPr="004E5D63" w:rsidRDefault="00BC4004" w:rsidP="00E41B6E">
      <w:pPr>
        <w:pStyle w:val="ListParagraph"/>
        <w:spacing w:line="240" w:lineRule="auto"/>
        <w:ind w:left="90"/>
        <w:rPr>
          <w:rFonts w:ascii="Garamond" w:hAnsi="Garamond" w:cs="Times New Roman"/>
          <w:b/>
          <w:sz w:val="24"/>
          <w:szCs w:val="24"/>
        </w:rPr>
      </w:pPr>
    </w:p>
    <w:p w:rsidR="00162D18" w:rsidRPr="004E5D63" w:rsidRDefault="00C02436" w:rsidP="00E41B6E">
      <w:pPr>
        <w:pStyle w:val="ListParagraph"/>
        <w:spacing w:line="240" w:lineRule="auto"/>
        <w:ind w:left="90"/>
        <w:rPr>
          <w:rFonts w:ascii="Garamond" w:hAnsi="Garamond" w:cs="Times New Roman"/>
          <w:b/>
          <w:sz w:val="24"/>
          <w:szCs w:val="24"/>
        </w:rPr>
      </w:pPr>
      <w:r w:rsidRPr="004E5D63">
        <w:rPr>
          <w:rFonts w:ascii="Garamond" w:hAnsi="Garamond" w:cs="Times New Roman"/>
          <w:b/>
          <w:noProof/>
          <w:sz w:val="24"/>
          <w:szCs w:val="24"/>
        </w:rPr>
        <w:drawing>
          <wp:inline distT="0" distB="0" distL="0" distR="0" wp14:anchorId="6AAD9AB0" wp14:editId="21143153">
            <wp:extent cx="4922196" cy="2344366"/>
            <wp:effectExtent l="0" t="0" r="0" b="0"/>
            <wp:docPr id="2" name="Picture 2" descr="D:\semester 3 2020 unesa\literature and education seminar\foto pengambilan data\Figure 1 Sanan Wetan distri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00009" name="Picture 2" descr="D:\semester 3 2020 unesa\literature and education seminar\foto pengambilan data\Figure 1 Sanan Wetan district.jpe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30565" cy="2348352"/>
                    </a:xfrm>
                    <a:prstGeom prst="rect">
                      <a:avLst/>
                    </a:prstGeom>
                    <a:noFill/>
                    <a:ln>
                      <a:noFill/>
                    </a:ln>
                  </pic:spPr>
                </pic:pic>
              </a:graphicData>
            </a:graphic>
          </wp:inline>
        </w:drawing>
      </w:r>
    </w:p>
    <w:p w:rsidR="00C26166" w:rsidRPr="004E5D63" w:rsidRDefault="00C26166" w:rsidP="00E41B6E">
      <w:pPr>
        <w:pStyle w:val="ListParagraph"/>
        <w:spacing w:line="240" w:lineRule="auto"/>
        <w:ind w:left="90"/>
        <w:rPr>
          <w:rFonts w:ascii="Garamond" w:hAnsi="Garamond" w:cs="Times New Roman"/>
          <w:b/>
          <w:sz w:val="24"/>
          <w:szCs w:val="24"/>
        </w:rPr>
      </w:pPr>
    </w:p>
    <w:p w:rsidR="00C26166" w:rsidRPr="004E5D63" w:rsidRDefault="00C02436" w:rsidP="00BC4004">
      <w:pPr>
        <w:pStyle w:val="HTMLPreformatted"/>
        <w:shd w:val="clear" w:color="auto" w:fill="F8F9FA"/>
        <w:rPr>
          <w:rFonts w:ascii="Garamond" w:hAnsi="Garamond"/>
          <w:color w:val="222222"/>
          <w:sz w:val="22"/>
          <w:szCs w:val="22"/>
        </w:rPr>
      </w:pPr>
      <w:r w:rsidRPr="004E5D63">
        <w:rPr>
          <w:rFonts w:ascii="Garamond" w:hAnsi="Garamond" w:cs="Times New Roman"/>
          <w:b/>
          <w:color w:val="000000"/>
          <w:sz w:val="24"/>
          <w:szCs w:val="24"/>
        </w:rPr>
        <w:t xml:space="preserve">Figure 2. </w:t>
      </w:r>
      <w:r w:rsidRPr="004E5D63">
        <w:rPr>
          <w:rFonts w:ascii="Garamond" w:hAnsi="Garamond"/>
          <w:color w:val="222222"/>
          <w:sz w:val="22"/>
          <w:szCs w:val="22"/>
          <w:lang w:val="en"/>
        </w:rPr>
        <w:t xml:space="preserve"> the activities that illustrate the equality between women and men status from Sananwetan District</w:t>
      </w:r>
    </w:p>
    <w:p w:rsidR="00C26166" w:rsidRPr="004E5D63" w:rsidRDefault="00C26166" w:rsidP="00BC4004">
      <w:pPr>
        <w:pStyle w:val="ListParagraph"/>
        <w:spacing w:line="240" w:lineRule="auto"/>
        <w:ind w:left="90"/>
        <w:rPr>
          <w:rFonts w:ascii="Garamond" w:hAnsi="Garamond" w:cs="Times New Roman"/>
          <w:color w:val="000000"/>
        </w:rPr>
      </w:pPr>
    </w:p>
    <w:p w:rsidR="00C26166" w:rsidRPr="004E5D63" w:rsidRDefault="00C26166" w:rsidP="00E41B6E">
      <w:pPr>
        <w:pStyle w:val="ListParagraph"/>
        <w:spacing w:line="240" w:lineRule="auto"/>
        <w:ind w:left="90"/>
        <w:rPr>
          <w:rFonts w:ascii="Garamond" w:hAnsi="Garamond" w:cs="Times New Roman"/>
          <w:b/>
          <w:sz w:val="24"/>
          <w:szCs w:val="24"/>
        </w:rPr>
      </w:pPr>
    </w:p>
    <w:p w:rsidR="004178B5" w:rsidRPr="004E5D63" w:rsidRDefault="00C02436" w:rsidP="00E41B6E">
      <w:pPr>
        <w:pStyle w:val="ListParagraph"/>
        <w:spacing w:line="240" w:lineRule="auto"/>
        <w:ind w:left="90"/>
        <w:rPr>
          <w:rFonts w:ascii="Garamond" w:hAnsi="Garamond" w:cs="Times New Roman"/>
          <w:b/>
          <w:color w:val="000000"/>
          <w:sz w:val="24"/>
          <w:szCs w:val="24"/>
        </w:rPr>
      </w:pPr>
      <w:r w:rsidRPr="004E5D63">
        <w:rPr>
          <w:rFonts w:ascii="Garamond" w:hAnsi="Garamond" w:cs="Times New Roman"/>
          <w:b/>
          <w:color w:val="000000"/>
          <w:sz w:val="24"/>
          <w:szCs w:val="24"/>
        </w:rPr>
        <w:t>Table 4.3 educational background</w:t>
      </w:r>
    </w:p>
    <w:p w:rsidR="00BD51C8" w:rsidRPr="004E5D63" w:rsidRDefault="00BD51C8" w:rsidP="00E41B6E">
      <w:pPr>
        <w:pStyle w:val="ListParagraph"/>
        <w:spacing w:line="240" w:lineRule="auto"/>
        <w:ind w:left="90"/>
        <w:rPr>
          <w:rFonts w:ascii="Garamond" w:hAnsi="Garamond" w:cs="Times New Roman"/>
          <w:b/>
          <w:sz w:val="24"/>
          <w:szCs w:val="24"/>
        </w:rPr>
      </w:pPr>
    </w:p>
    <w:tbl>
      <w:tblPr>
        <w:tblStyle w:val="TableGrid"/>
        <w:tblW w:w="0" w:type="auto"/>
        <w:tblInd w:w="90" w:type="dxa"/>
        <w:tblLook w:val="04A0" w:firstRow="1" w:lastRow="0" w:firstColumn="1" w:lastColumn="0" w:noHBand="0" w:noVBand="1"/>
      </w:tblPr>
      <w:tblGrid>
        <w:gridCol w:w="1548"/>
        <w:gridCol w:w="1350"/>
        <w:gridCol w:w="720"/>
        <w:gridCol w:w="908"/>
        <w:gridCol w:w="4960"/>
      </w:tblGrid>
      <w:tr w:rsidR="00616702" w:rsidTr="000C5768">
        <w:tc>
          <w:tcPr>
            <w:tcW w:w="1548" w:type="dxa"/>
          </w:tcPr>
          <w:p w:rsidR="00BD51C8"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Educational background</w:t>
            </w:r>
          </w:p>
        </w:tc>
        <w:tc>
          <w:tcPr>
            <w:tcW w:w="1350" w:type="dxa"/>
          </w:tcPr>
          <w:p w:rsidR="00BD51C8"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color w:val="000000"/>
                <w:sz w:val="24"/>
                <w:szCs w:val="24"/>
              </w:rPr>
              <w:t>status</w:t>
            </w:r>
          </w:p>
        </w:tc>
        <w:tc>
          <w:tcPr>
            <w:tcW w:w="720" w:type="dxa"/>
          </w:tcPr>
          <w:p w:rsidR="00BD51C8"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total</w:t>
            </w:r>
          </w:p>
        </w:tc>
        <w:tc>
          <w:tcPr>
            <w:tcW w:w="908" w:type="dxa"/>
          </w:tcPr>
          <w:p w:rsidR="00BD51C8" w:rsidRPr="004E5D63" w:rsidRDefault="00C02436" w:rsidP="00E41B6E">
            <w:pPr>
              <w:pStyle w:val="ListParagraph"/>
              <w:ind w:left="0"/>
              <w:jc w:val="center"/>
              <w:rPr>
                <w:rFonts w:ascii="Garamond" w:hAnsi="Garamond" w:cs="Times New Roman"/>
                <w:b/>
                <w:sz w:val="24"/>
                <w:szCs w:val="24"/>
              </w:rPr>
            </w:pPr>
            <w:r w:rsidRPr="004E5D63">
              <w:rPr>
                <w:rFonts w:ascii="Garamond" w:hAnsi="Garamond" w:cs="Times New Roman"/>
                <w:b/>
                <w:sz w:val="24"/>
                <w:szCs w:val="24"/>
              </w:rPr>
              <w:t>%</w:t>
            </w:r>
          </w:p>
        </w:tc>
        <w:tc>
          <w:tcPr>
            <w:tcW w:w="4960" w:type="dxa"/>
          </w:tcPr>
          <w:p w:rsidR="00BD51C8" w:rsidRPr="004E5D63" w:rsidRDefault="00C02436" w:rsidP="00E41B6E">
            <w:pPr>
              <w:pStyle w:val="ListParagraph"/>
              <w:ind w:left="0"/>
              <w:rPr>
                <w:rFonts w:ascii="Garamond" w:hAnsi="Garamond" w:cs="Times New Roman"/>
                <w:b/>
                <w:sz w:val="24"/>
                <w:szCs w:val="24"/>
              </w:rPr>
            </w:pPr>
            <w:r w:rsidRPr="004E5D63">
              <w:rPr>
                <w:rFonts w:ascii="Garamond" w:hAnsi="Garamond" w:cs="Times New Roman"/>
                <w:b/>
                <w:sz w:val="24"/>
                <w:szCs w:val="24"/>
              </w:rPr>
              <w:t>practice</w:t>
            </w:r>
          </w:p>
        </w:tc>
      </w:tr>
      <w:tr w:rsidR="00616702" w:rsidTr="000C5768">
        <w:tc>
          <w:tcPr>
            <w:tcW w:w="1548" w:type="dxa"/>
          </w:tcPr>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S2</w:t>
            </w:r>
          </w:p>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S1</w:t>
            </w:r>
          </w:p>
          <w:p w:rsidR="00BD51C8" w:rsidRPr="004E5D63" w:rsidRDefault="00BD51C8" w:rsidP="00E41B6E">
            <w:pPr>
              <w:pStyle w:val="ListParagraph"/>
              <w:ind w:left="0"/>
              <w:rPr>
                <w:rFonts w:ascii="Garamond" w:hAnsi="Garamond" w:cs="Times New Roman"/>
                <w:sz w:val="24"/>
                <w:szCs w:val="24"/>
              </w:rPr>
            </w:pPr>
          </w:p>
        </w:tc>
        <w:tc>
          <w:tcPr>
            <w:tcW w:w="1350" w:type="dxa"/>
          </w:tcPr>
          <w:p w:rsidR="00BE567C"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lastRenderedPageBreak/>
              <w:t>High status</w:t>
            </w:r>
          </w:p>
        </w:tc>
        <w:tc>
          <w:tcPr>
            <w:tcW w:w="720" w:type="dxa"/>
          </w:tcPr>
          <w:p w:rsidR="000C5768" w:rsidRPr="004E5D63" w:rsidRDefault="00C02436" w:rsidP="00E41B6E">
            <w:pPr>
              <w:pStyle w:val="ListParagraph"/>
              <w:ind w:left="108"/>
              <w:rPr>
                <w:rFonts w:ascii="Garamond" w:hAnsi="Garamond" w:cs="Times New Roman"/>
                <w:sz w:val="24"/>
                <w:szCs w:val="24"/>
              </w:rPr>
            </w:pPr>
            <w:r w:rsidRPr="004E5D63">
              <w:rPr>
                <w:rFonts w:ascii="Garamond" w:hAnsi="Garamond" w:cs="Times New Roman"/>
                <w:sz w:val="24"/>
                <w:szCs w:val="24"/>
              </w:rPr>
              <w:t>7</w:t>
            </w:r>
          </w:p>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56</w:t>
            </w:r>
          </w:p>
        </w:tc>
        <w:tc>
          <w:tcPr>
            <w:tcW w:w="908" w:type="dxa"/>
          </w:tcPr>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3,5%</w:t>
            </w:r>
          </w:p>
          <w:p w:rsidR="007018A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28%</w:t>
            </w:r>
          </w:p>
        </w:tc>
        <w:tc>
          <w:tcPr>
            <w:tcW w:w="4960" w:type="dxa"/>
          </w:tcPr>
          <w:p w:rsidR="00BB44E6"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Times New Roman" w:hAnsi="Garamond" w:cs="Times New Roman"/>
                <w:color w:val="222222"/>
                <w:sz w:val="24"/>
                <w:szCs w:val="24"/>
              </w:rPr>
            </w:pPr>
            <w:r w:rsidRPr="004E5D63">
              <w:rPr>
                <w:rFonts w:ascii="Garamond" w:eastAsia="Times New Roman" w:hAnsi="Garamond" w:cs="Times New Roman"/>
                <w:color w:val="222222"/>
                <w:sz w:val="24"/>
                <w:szCs w:val="24"/>
                <w:lang w:val="en"/>
              </w:rPr>
              <w:t xml:space="preserve">They already understand the equality between men and women, so that the balance of identity is </w:t>
            </w:r>
            <w:r w:rsidRPr="004E5D63">
              <w:rPr>
                <w:rFonts w:ascii="Garamond" w:eastAsia="Times New Roman" w:hAnsi="Garamond" w:cs="Times New Roman"/>
                <w:color w:val="222222"/>
                <w:sz w:val="24"/>
                <w:szCs w:val="24"/>
                <w:lang w:val="en"/>
              </w:rPr>
              <w:lastRenderedPageBreak/>
              <w:t>carried over to all their activities</w:t>
            </w:r>
          </w:p>
          <w:p w:rsidR="00BD51C8" w:rsidRPr="004E5D63" w:rsidRDefault="00BD51C8" w:rsidP="00E41B6E">
            <w:pPr>
              <w:pStyle w:val="ListParagraph"/>
              <w:ind w:left="90"/>
              <w:rPr>
                <w:rFonts w:ascii="Garamond" w:hAnsi="Garamond" w:cs="Times New Roman"/>
                <w:b/>
                <w:sz w:val="24"/>
                <w:szCs w:val="24"/>
              </w:rPr>
            </w:pPr>
          </w:p>
        </w:tc>
      </w:tr>
      <w:tr w:rsidR="00616702" w:rsidTr="000C5768">
        <w:tc>
          <w:tcPr>
            <w:tcW w:w="1548" w:type="dxa"/>
          </w:tcPr>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lastRenderedPageBreak/>
              <w:t>Senior High School</w:t>
            </w:r>
          </w:p>
          <w:p w:rsidR="00F00597"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 xml:space="preserve">Junior high school </w:t>
            </w:r>
          </w:p>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 xml:space="preserve">primary school </w:t>
            </w:r>
          </w:p>
        </w:tc>
        <w:tc>
          <w:tcPr>
            <w:tcW w:w="1350" w:type="dxa"/>
          </w:tcPr>
          <w:p w:rsidR="000C576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Low status</w:t>
            </w:r>
          </w:p>
        </w:tc>
        <w:tc>
          <w:tcPr>
            <w:tcW w:w="720" w:type="dxa"/>
          </w:tcPr>
          <w:p w:rsidR="000C5768" w:rsidRPr="004E5D63" w:rsidRDefault="00C02436" w:rsidP="00E41B6E">
            <w:pPr>
              <w:pStyle w:val="ListParagraph"/>
              <w:ind w:left="53"/>
              <w:rPr>
                <w:rFonts w:ascii="Garamond" w:hAnsi="Garamond" w:cs="Times New Roman"/>
                <w:sz w:val="24"/>
                <w:szCs w:val="24"/>
              </w:rPr>
            </w:pPr>
            <w:r w:rsidRPr="004E5D63">
              <w:rPr>
                <w:rFonts w:ascii="Garamond" w:hAnsi="Garamond" w:cs="Times New Roman"/>
                <w:sz w:val="24"/>
                <w:szCs w:val="24"/>
              </w:rPr>
              <w:t>109</w:t>
            </w:r>
          </w:p>
          <w:p w:rsidR="001E1C69" w:rsidRPr="004E5D63" w:rsidRDefault="001E1C69" w:rsidP="00E41B6E">
            <w:pPr>
              <w:pStyle w:val="ListParagraph"/>
              <w:ind w:left="53"/>
              <w:rPr>
                <w:rFonts w:ascii="Garamond" w:hAnsi="Garamond" w:cs="Times New Roman"/>
                <w:sz w:val="24"/>
                <w:szCs w:val="24"/>
              </w:rPr>
            </w:pPr>
          </w:p>
          <w:p w:rsidR="000C5768" w:rsidRPr="004E5D63" w:rsidRDefault="00C02436" w:rsidP="00E41B6E">
            <w:pPr>
              <w:pStyle w:val="ListParagraph"/>
              <w:ind w:left="53"/>
              <w:rPr>
                <w:rFonts w:ascii="Garamond" w:hAnsi="Garamond" w:cs="Times New Roman"/>
                <w:sz w:val="24"/>
                <w:szCs w:val="24"/>
              </w:rPr>
            </w:pPr>
            <w:r w:rsidRPr="004E5D63">
              <w:rPr>
                <w:rFonts w:ascii="Garamond" w:hAnsi="Garamond" w:cs="Times New Roman"/>
                <w:sz w:val="24"/>
                <w:szCs w:val="24"/>
              </w:rPr>
              <w:t>21</w:t>
            </w:r>
          </w:p>
          <w:p w:rsidR="001E1C69" w:rsidRPr="004E5D63" w:rsidRDefault="001E1C69" w:rsidP="00E41B6E">
            <w:pPr>
              <w:pStyle w:val="ListParagraph"/>
              <w:ind w:left="53"/>
              <w:rPr>
                <w:rFonts w:ascii="Garamond" w:hAnsi="Garamond" w:cs="Times New Roman"/>
                <w:sz w:val="24"/>
                <w:szCs w:val="24"/>
              </w:rPr>
            </w:pPr>
          </w:p>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 xml:space="preserve"> </w:t>
            </w:r>
            <w:r w:rsidR="000C5768" w:rsidRPr="004E5D63">
              <w:rPr>
                <w:rFonts w:ascii="Garamond" w:hAnsi="Garamond" w:cs="Times New Roman"/>
                <w:sz w:val="24"/>
                <w:szCs w:val="24"/>
              </w:rPr>
              <w:t>7</w:t>
            </w:r>
          </w:p>
        </w:tc>
        <w:tc>
          <w:tcPr>
            <w:tcW w:w="908" w:type="dxa"/>
          </w:tcPr>
          <w:p w:rsidR="00BD51C8"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54,5%</w:t>
            </w:r>
          </w:p>
          <w:p w:rsidR="007018A6" w:rsidRPr="004E5D63" w:rsidRDefault="007018A6" w:rsidP="00E41B6E">
            <w:pPr>
              <w:pStyle w:val="ListParagraph"/>
              <w:ind w:left="0"/>
              <w:rPr>
                <w:rFonts w:ascii="Garamond" w:hAnsi="Garamond" w:cs="Times New Roman"/>
                <w:sz w:val="24"/>
                <w:szCs w:val="24"/>
              </w:rPr>
            </w:pPr>
          </w:p>
          <w:p w:rsidR="007018A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10,5%</w:t>
            </w:r>
          </w:p>
          <w:p w:rsidR="007018A6" w:rsidRPr="004E5D63" w:rsidRDefault="007018A6" w:rsidP="00E41B6E">
            <w:pPr>
              <w:pStyle w:val="ListParagraph"/>
              <w:ind w:left="0"/>
              <w:rPr>
                <w:rFonts w:ascii="Garamond" w:hAnsi="Garamond" w:cs="Times New Roman"/>
                <w:sz w:val="24"/>
                <w:szCs w:val="24"/>
              </w:rPr>
            </w:pPr>
          </w:p>
          <w:p w:rsidR="007018A6" w:rsidRPr="004E5D63" w:rsidRDefault="00C02436" w:rsidP="00E41B6E">
            <w:pPr>
              <w:pStyle w:val="ListParagraph"/>
              <w:ind w:left="0"/>
              <w:rPr>
                <w:rFonts w:ascii="Garamond" w:hAnsi="Garamond" w:cs="Times New Roman"/>
                <w:sz w:val="24"/>
                <w:szCs w:val="24"/>
              </w:rPr>
            </w:pPr>
            <w:r w:rsidRPr="004E5D63">
              <w:rPr>
                <w:rFonts w:ascii="Garamond" w:hAnsi="Garamond" w:cs="Times New Roman"/>
                <w:sz w:val="24"/>
                <w:szCs w:val="24"/>
              </w:rPr>
              <w:t>3,5%</w:t>
            </w:r>
          </w:p>
        </w:tc>
        <w:tc>
          <w:tcPr>
            <w:tcW w:w="4960" w:type="dxa"/>
          </w:tcPr>
          <w:p w:rsidR="002924D0" w:rsidRPr="004E5D63" w:rsidRDefault="00C02436" w:rsidP="00E41B6E">
            <w:pPr>
              <w:pStyle w:val="ListParagraph"/>
              <w:ind w:left="0"/>
              <w:rPr>
                <w:rFonts w:ascii="Garamond" w:hAnsi="Garamond" w:cs="Times New Roman"/>
                <w:b/>
                <w:sz w:val="24"/>
                <w:szCs w:val="24"/>
              </w:rPr>
            </w:pPr>
            <w:r w:rsidRPr="004E5D63">
              <w:rPr>
                <w:rFonts w:ascii="Garamond" w:eastAsia="Times New Roman" w:hAnsi="Garamond" w:cs="Times New Roman"/>
                <w:color w:val="222222"/>
                <w:sz w:val="24"/>
                <w:szCs w:val="24"/>
                <w:lang w:val="en"/>
              </w:rPr>
              <w:t>most of the mothers still have lower occupational education than their husbands, so that they always boast of their husband's identity as a family authority in their activities, even they always follow what their parents say without thinking critically</w:t>
            </w:r>
          </w:p>
          <w:p w:rsidR="00BD51C8" w:rsidRPr="004E5D63" w:rsidRDefault="00BD51C8"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Times New Roman"/>
                <w:b/>
                <w:sz w:val="24"/>
                <w:szCs w:val="24"/>
              </w:rPr>
            </w:pPr>
          </w:p>
        </w:tc>
      </w:tr>
    </w:tbl>
    <w:p w:rsidR="00BD51C8" w:rsidRPr="004E5D63" w:rsidRDefault="00BD51C8" w:rsidP="00E41B6E">
      <w:pPr>
        <w:pStyle w:val="ListParagraph"/>
        <w:spacing w:line="240" w:lineRule="auto"/>
        <w:ind w:left="90"/>
        <w:rPr>
          <w:rFonts w:ascii="Garamond" w:hAnsi="Garamond" w:cs="Times New Roman"/>
          <w:b/>
          <w:sz w:val="24"/>
          <w:szCs w:val="24"/>
        </w:rPr>
      </w:pPr>
    </w:p>
    <w:p w:rsidR="007018A6" w:rsidRPr="004E5D63" w:rsidRDefault="007018A6" w:rsidP="00E41B6E">
      <w:pPr>
        <w:pStyle w:val="ListParagraph"/>
        <w:spacing w:line="240" w:lineRule="auto"/>
        <w:jc w:val="both"/>
        <w:rPr>
          <w:rFonts w:ascii="Garamond" w:hAnsi="Garamond" w:cs="Times New Roman"/>
          <w:b/>
          <w:sz w:val="24"/>
          <w:szCs w:val="24"/>
        </w:rPr>
      </w:pPr>
    </w:p>
    <w:p w:rsidR="007018A6" w:rsidRPr="004E5D63" w:rsidRDefault="00C02436" w:rsidP="00E41B6E">
      <w:pPr>
        <w:pStyle w:val="ListParagraph"/>
        <w:spacing w:line="240" w:lineRule="auto"/>
        <w:ind w:left="90"/>
        <w:jc w:val="both"/>
        <w:rPr>
          <w:rFonts w:ascii="Garamond" w:hAnsi="Garamond" w:cs="Times New Roman"/>
          <w:color w:val="000000"/>
          <w:sz w:val="24"/>
          <w:szCs w:val="24"/>
        </w:rPr>
      </w:pPr>
      <w:r w:rsidRPr="004E5D63">
        <w:rPr>
          <w:rFonts w:ascii="Garamond" w:hAnsi="Garamond" w:cs="Times New Roman"/>
          <w:color w:val="000000"/>
          <w:sz w:val="24"/>
          <w:szCs w:val="24"/>
        </w:rPr>
        <w:t xml:space="preserve">In accordance with the table showing the percentage of </w:t>
      </w:r>
      <w:r w:rsidR="009F3616" w:rsidRPr="004E5D63">
        <w:rPr>
          <w:rFonts w:ascii="Garamond" w:hAnsi="Garamond" w:cs="Times New Roman"/>
          <w:sz w:val="24"/>
          <w:szCs w:val="24"/>
        </w:rPr>
        <w:t>Educational background</w:t>
      </w:r>
      <w:r w:rsidRPr="004E5D63">
        <w:rPr>
          <w:rFonts w:ascii="Garamond" w:hAnsi="Garamond" w:cs="Times New Roman"/>
          <w:color w:val="000000"/>
          <w:sz w:val="24"/>
          <w:szCs w:val="24"/>
        </w:rPr>
        <w:t xml:space="preserve">, it is shown that </w:t>
      </w:r>
      <w:r w:rsidR="009F3616" w:rsidRPr="004E5D63">
        <w:rPr>
          <w:rFonts w:ascii="Garamond" w:hAnsi="Garamond" w:cs="Times New Roman"/>
          <w:color w:val="000000"/>
          <w:sz w:val="24"/>
          <w:szCs w:val="24"/>
        </w:rPr>
        <w:t xml:space="preserve">High status reaches 63 as counts 31,5% </w:t>
      </w:r>
      <w:r w:rsidRPr="004E5D63">
        <w:rPr>
          <w:rFonts w:ascii="Garamond" w:hAnsi="Garamond" w:cs="Times New Roman"/>
          <w:color w:val="000000"/>
          <w:sz w:val="24"/>
          <w:szCs w:val="24"/>
        </w:rPr>
        <w:t xml:space="preserve"> while </w:t>
      </w:r>
      <w:r w:rsidR="009F3616" w:rsidRPr="004E5D63">
        <w:rPr>
          <w:rFonts w:ascii="Garamond" w:hAnsi="Garamond" w:cs="Times New Roman"/>
          <w:color w:val="000000"/>
          <w:sz w:val="24"/>
          <w:szCs w:val="24"/>
        </w:rPr>
        <w:t>low status gets</w:t>
      </w:r>
      <w:r w:rsidRPr="004E5D63">
        <w:rPr>
          <w:rFonts w:ascii="Garamond" w:hAnsi="Garamond" w:cs="Times New Roman"/>
          <w:color w:val="000000"/>
          <w:sz w:val="24"/>
          <w:szCs w:val="24"/>
        </w:rPr>
        <w:t xml:space="preserve"> </w:t>
      </w:r>
      <w:r w:rsidR="009F3616" w:rsidRPr="004E5D63">
        <w:rPr>
          <w:rFonts w:ascii="Garamond" w:hAnsi="Garamond" w:cs="Times New Roman"/>
          <w:color w:val="000000"/>
          <w:sz w:val="24"/>
          <w:szCs w:val="24"/>
        </w:rPr>
        <w:t>137 as counts 68,5%</w:t>
      </w:r>
      <w:r w:rsidR="002472B4" w:rsidRPr="004E5D63">
        <w:rPr>
          <w:rFonts w:ascii="Garamond" w:hAnsi="Garamond" w:cs="Times New Roman"/>
          <w:color w:val="000000"/>
          <w:sz w:val="24"/>
          <w:szCs w:val="24"/>
        </w:rPr>
        <w:t xml:space="preserve"> </w:t>
      </w:r>
    </w:p>
    <w:p w:rsidR="002472B4" w:rsidRPr="004E5D63" w:rsidRDefault="002472B4" w:rsidP="00E41B6E">
      <w:pPr>
        <w:pStyle w:val="ListParagraph"/>
        <w:spacing w:line="240" w:lineRule="auto"/>
        <w:ind w:left="90"/>
        <w:jc w:val="both"/>
        <w:rPr>
          <w:rFonts w:ascii="Garamond" w:hAnsi="Garamond" w:cs="Times New Roman"/>
          <w:color w:val="000000"/>
          <w:sz w:val="24"/>
          <w:szCs w:val="24"/>
        </w:rPr>
      </w:pPr>
    </w:p>
    <w:p w:rsidR="00BC4004" w:rsidRPr="004E5D63" w:rsidRDefault="00C02436" w:rsidP="00E41B6E">
      <w:pPr>
        <w:pStyle w:val="ListParagraph"/>
        <w:spacing w:line="240" w:lineRule="auto"/>
        <w:ind w:left="90"/>
        <w:jc w:val="both"/>
        <w:rPr>
          <w:rFonts w:ascii="Garamond" w:hAnsi="Garamond" w:cs="Times New Roman"/>
          <w:color w:val="000000"/>
          <w:sz w:val="24"/>
          <w:szCs w:val="24"/>
        </w:rPr>
      </w:pPr>
      <w:r w:rsidRPr="004E5D63">
        <w:rPr>
          <w:rFonts w:ascii="Garamond" w:hAnsi="Garamond" w:cs="Times New Roman"/>
          <w:noProof/>
          <w:color w:val="000000"/>
          <w:sz w:val="24"/>
          <w:szCs w:val="24"/>
        </w:rPr>
        <w:drawing>
          <wp:inline distT="0" distB="0" distL="0" distR="0" wp14:anchorId="1EB4F966" wp14:editId="1FD07308">
            <wp:extent cx="4844374" cy="2535995"/>
            <wp:effectExtent l="0" t="0" r="0" b="0"/>
            <wp:docPr id="3" name="Picture 3" descr="D:\semester 3 2020 unesa\literature and education seminar\foto pengambilan data\Figure 2 Sanan Kulon distri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5727" name="Picture 3" descr="D:\semester 3 2020 unesa\literature and education seminar\foto pengambilan data\Figure 2 Sanan Kulon district.jpe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845349" cy="2536506"/>
                    </a:xfrm>
                    <a:prstGeom prst="rect">
                      <a:avLst/>
                    </a:prstGeom>
                    <a:noFill/>
                    <a:ln>
                      <a:noFill/>
                    </a:ln>
                  </pic:spPr>
                </pic:pic>
              </a:graphicData>
            </a:graphic>
          </wp:inline>
        </w:drawing>
      </w:r>
    </w:p>
    <w:p w:rsidR="00BC4004" w:rsidRPr="004E5D63" w:rsidRDefault="00BC4004" w:rsidP="00E41B6E">
      <w:pPr>
        <w:pStyle w:val="ListParagraph"/>
        <w:spacing w:line="240" w:lineRule="auto"/>
        <w:ind w:left="90"/>
        <w:jc w:val="both"/>
        <w:rPr>
          <w:rFonts w:ascii="Garamond" w:hAnsi="Garamond" w:cs="Times New Roman"/>
          <w:color w:val="000000"/>
          <w:sz w:val="24"/>
          <w:szCs w:val="24"/>
        </w:rPr>
      </w:pPr>
    </w:p>
    <w:p w:rsidR="00B33F46" w:rsidRPr="004E5D63" w:rsidRDefault="00C02436" w:rsidP="00B33F46">
      <w:pPr>
        <w:pStyle w:val="HTMLPreformatted"/>
        <w:shd w:val="clear" w:color="auto" w:fill="F8F9FA"/>
        <w:rPr>
          <w:rFonts w:ascii="Garamond" w:hAnsi="Garamond"/>
          <w:color w:val="222222"/>
          <w:sz w:val="22"/>
          <w:szCs w:val="22"/>
        </w:rPr>
      </w:pPr>
      <w:r w:rsidRPr="004E5D63">
        <w:rPr>
          <w:rFonts w:ascii="Garamond" w:hAnsi="Garamond" w:cs="Times New Roman"/>
          <w:b/>
          <w:color w:val="000000"/>
          <w:sz w:val="24"/>
          <w:szCs w:val="24"/>
        </w:rPr>
        <w:t xml:space="preserve">Figure 3. </w:t>
      </w:r>
      <w:r w:rsidRPr="004E5D63">
        <w:rPr>
          <w:rFonts w:ascii="Garamond" w:hAnsi="Garamond"/>
          <w:color w:val="222222"/>
          <w:sz w:val="22"/>
          <w:szCs w:val="22"/>
          <w:lang w:val="en"/>
        </w:rPr>
        <w:t xml:space="preserve"> the activities that illustrate the inequality between women and men status from Kepanjen Kidul and Sananwetan Districts</w:t>
      </w:r>
    </w:p>
    <w:p w:rsidR="00BC4004" w:rsidRPr="004E5D63" w:rsidRDefault="00BC4004" w:rsidP="00E41B6E">
      <w:pPr>
        <w:pStyle w:val="ListParagraph"/>
        <w:spacing w:line="240" w:lineRule="auto"/>
        <w:ind w:left="90"/>
        <w:jc w:val="both"/>
        <w:rPr>
          <w:rFonts w:ascii="Garamond" w:hAnsi="Garamond" w:cs="Times New Roman"/>
          <w:color w:val="000000"/>
          <w:sz w:val="24"/>
          <w:szCs w:val="24"/>
        </w:rPr>
      </w:pPr>
    </w:p>
    <w:p w:rsidR="002472B4" w:rsidRDefault="00C02436" w:rsidP="00E41B6E">
      <w:pPr>
        <w:pStyle w:val="ListParagraph"/>
        <w:spacing w:line="240" w:lineRule="auto"/>
        <w:ind w:left="90"/>
        <w:jc w:val="both"/>
        <w:rPr>
          <w:rFonts w:ascii="Garamond" w:hAnsi="Garamond" w:cs="Times New Roman"/>
          <w:color w:val="000000"/>
          <w:sz w:val="24"/>
          <w:szCs w:val="24"/>
        </w:rPr>
      </w:pPr>
      <w:r w:rsidRPr="004E5D63">
        <w:rPr>
          <w:rFonts w:ascii="Garamond" w:hAnsi="Garamond" w:cs="Times New Roman"/>
          <w:color w:val="000000"/>
          <w:sz w:val="24"/>
          <w:szCs w:val="24"/>
        </w:rPr>
        <w:fldChar w:fldCharType="begin" w:fldLock="1"/>
      </w:r>
      <w:r w:rsidRPr="004E5D63">
        <w:rPr>
          <w:rFonts w:ascii="Garamond" w:hAnsi="Garamond" w:cs="Times New Roman"/>
          <w:color w:val="000000"/>
          <w:sz w:val="24"/>
          <w:szCs w:val="24"/>
        </w:rPr>
        <w:instrText>ADDIN CSL_CITATION {"citationItems":[{"id":"ITEM-1","itemData":{"author":[{"dropping-particle":"","family":"Wienanda","given":"Wahyu Kartika","non-dropping-particle":"","parse-names":false,"suffix":""}],"id":"ITEM-1","issued":{"date-parts":[["2012"]]},"publisher":"Universitas Negeri Malang","title":"AN ANALYSIS OF VII GRADE ENGLISH COURSEBOOK ENTITLED ENGLISH ON SKY 1 IN TERMS OF GENDER BALANCE OF THE MATERIALS","type":"thesis"},"uris":["http://www.mendeley.com/documents/?uuid=f4b2a471-ac5e-49ca-a675-a0ddb25b7a15"]}],"mendeley":{"formattedCitation":"(Wienanda, 2012)","plainTextFormattedCitation":"(Wienanda, 2012)","previouslyFormattedCitation":"(Wienanda, 2012)"},"properties":{"noteIndex":0},"schema":"https://github.com/citation-style-language/schema/raw/master/csl-citation.json"}</w:instrText>
      </w:r>
      <w:r w:rsidRPr="004E5D63">
        <w:rPr>
          <w:rFonts w:ascii="Garamond" w:hAnsi="Garamond" w:cs="Times New Roman"/>
          <w:color w:val="000000"/>
          <w:sz w:val="24"/>
          <w:szCs w:val="24"/>
        </w:rPr>
        <w:fldChar w:fldCharType="separate"/>
      </w:r>
      <w:r w:rsidRPr="004E5D63">
        <w:rPr>
          <w:rFonts w:ascii="Garamond" w:hAnsi="Garamond" w:cs="Times New Roman"/>
          <w:noProof/>
          <w:color w:val="000000"/>
          <w:sz w:val="24"/>
          <w:szCs w:val="24"/>
        </w:rPr>
        <w:t>(Wienanda, 2012)</w:t>
      </w:r>
      <w:r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 xml:space="preserve"> and</w:t>
      </w:r>
      <w:r w:rsidR="00684979">
        <w:rPr>
          <w:rFonts w:ascii="Garamond" w:hAnsi="Garamond" w:cs="Times New Roman"/>
          <w:color w:val="000000"/>
          <w:sz w:val="24"/>
          <w:szCs w:val="24"/>
        </w:rPr>
        <w:t xml:space="preserve"> </w:t>
      </w:r>
      <w:r w:rsidRPr="004E5D63">
        <w:rPr>
          <w:rFonts w:ascii="Garamond" w:hAnsi="Garamond" w:cs="Times New Roman"/>
          <w:color w:val="000000"/>
          <w:sz w:val="24"/>
          <w:szCs w:val="24"/>
        </w:rPr>
        <w:fldChar w:fldCharType="begin" w:fldLock="1"/>
      </w:r>
      <w:r w:rsidRPr="004E5D63">
        <w:rPr>
          <w:rFonts w:ascii="Garamond" w:hAnsi="Garamond" w:cs="Times New Roman"/>
          <w:color w:val="000000"/>
          <w:sz w:val="24"/>
          <w:szCs w:val="24"/>
        </w:rPr>
        <w:instrText>ADDIN CSL_CITATION {"citationItems":[{"id":"ITEM-1","itemData":{"author":[{"dropping-particle":"","family":"Witjatmoko","given":"N","non-dropping-particle":"","parse-names":false,"suffix":""}],"id":"ITEM-1","issued":{"date-parts":[["2016"]]},"publisher":"Universitas Negeri Malang","title":"Gender Representation in Two EFL Textbooks Used in Grade VII of Junior High School","type":"thesis"},"uris":["http://www.mendeley.com/documents/?uuid=7d6167dc-4dac-432b-87a8-967b2d6cd58d"]}],"mendeley":{"formattedCitation":"(Witjatmoko, 2016)","plainTextFormattedCitation":"(Witjatmoko, 2016)","previouslyFormattedCitation":"(Witjatmoko, 2016)"},"properties":{"noteIndex":0},"schema":"https://github.com/citation-style-language/schema/raw/master/csl-citation.json"}</w:instrText>
      </w:r>
      <w:r w:rsidRPr="004E5D63">
        <w:rPr>
          <w:rFonts w:ascii="Garamond" w:hAnsi="Garamond" w:cs="Times New Roman"/>
          <w:color w:val="000000"/>
          <w:sz w:val="24"/>
          <w:szCs w:val="24"/>
        </w:rPr>
        <w:fldChar w:fldCharType="separate"/>
      </w:r>
      <w:r w:rsidRPr="004E5D63">
        <w:rPr>
          <w:rFonts w:ascii="Garamond" w:hAnsi="Garamond" w:cs="Times New Roman"/>
          <w:noProof/>
          <w:color w:val="000000"/>
          <w:sz w:val="24"/>
          <w:szCs w:val="24"/>
        </w:rPr>
        <w:t>(Witjatmoko, 2016)</w:t>
      </w:r>
      <w:r w:rsidRPr="004E5D63">
        <w:rPr>
          <w:rFonts w:ascii="Garamond" w:hAnsi="Garamond" w:cs="Times New Roman"/>
          <w:color w:val="000000"/>
          <w:sz w:val="24"/>
          <w:szCs w:val="24"/>
        </w:rPr>
        <w:fldChar w:fldCharType="end"/>
      </w:r>
      <w:r w:rsidRPr="004E5D63">
        <w:rPr>
          <w:rFonts w:ascii="Garamond" w:hAnsi="Garamond" w:cs="Times New Roman"/>
          <w:color w:val="000000"/>
          <w:sz w:val="24"/>
          <w:szCs w:val="24"/>
        </w:rPr>
        <w:t xml:space="preserve"> divides the three stages gap from 0-15%</w:t>
      </w:r>
      <w:r w:rsidRPr="004E5D63">
        <w:rPr>
          <w:rFonts w:ascii="Garamond" w:hAnsi="Garamond" w:cs="Times New Roman"/>
          <w:color w:val="000000"/>
          <w:sz w:val="24"/>
          <w:szCs w:val="24"/>
        </w:rPr>
        <w:br/>
        <w:t>consider as balance, 16-25% gap consider to fairly balance, and</w:t>
      </w:r>
      <w:r w:rsidR="007958E1" w:rsidRPr="004E5D63">
        <w:rPr>
          <w:rFonts w:ascii="Garamond" w:hAnsi="Garamond" w:cs="Times New Roman"/>
          <w:color w:val="000000"/>
          <w:sz w:val="24"/>
          <w:szCs w:val="24"/>
        </w:rPr>
        <w:t xml:space="preserve"> </w:t>
      </w:r>
      <w:r w:rsidRPr="004E5D63">
        <w:rPr>
          <w:rFonts w:ascii="Garamond" w:hAnsi="Garamond" w:cs="Times New Roman"/>
          <w:color w:val="000000"/>
          <w:sz w:val="24"/>
          <w:szCs w:val="24"/>
        </w:rPr>
        <w:t>&gt; 25% gap is considered as</w:t>
      </w:r>
      <w:r w:rsidRPr="004E5D63">
        <w:rPr>
          <w:rFonts w:ascii="Garamond" w:hAnsi="Garamond" w:cs="Times New Roman"/>
          <w:color w:val="000000"/>
          <w:sz w:val="24"/>
          <w:szCs w:val="24"/>
        </w:rPr>
        <w:br/>
        <w:t>imbalance.</w:t>
      </w:r>
    </w:p>
    <w:p w:rsidR="004E5D63" w:rsidRPr="004E5D63" w:rsidRDefault="004E5D63" w:rsidP="00E41B6E">
      <w:pPr>
        <w:pStyle w:val="ListParagraph"/>
        <w:spacing w:line="240" w:lineRule="auto"/>
        <w:ind w:left="90"/>
        <w:jc w:val="both"/>
        <w:rPr>
          <w:rFonts w:ascii="Garamond" w:hAnsi="Garamond" w:cs="Times New Roman"/>
          <w:color w:val="000000"/>
          <w:sz w:val="24"/>
          <w:szCs w:val="24"/>
        </w:rPr>
      </w:pPr>
    </w:p>
    <w:p w:rsidR="002472B4" w:rsidRPr="004E5D63" w:rsidRDefault="00C02436" w:rsidP="00E41B6E">
      <w:pPr>
        <w:pStyle w:val="ListParagraph"/>
        <w:spacing w:line="240" w:lineRule="auto"/>
        <w:ind w:left="90"/>
        <w:jc w:val="both"/>
        <w:rPr>
          <w:rFonts w:ascii="Garamond" w:hAnsi="Garamond" w:cs="Times New Roman"/>
          <w:b/>
          <w:color w:val="000000"/>
          <w:sz w:val="24"/>
          <w:szCs w:val="24"/>
        </w:rPr>
      </w:pPr>
      <w:r w:rsidRPr="004E5D63">
        <w:rPr>
          <w:rFonts w:ascii="Garamond" w:hAnsi="Garamond" w:cs="Times New Roman"/>
          <w:b/>
          <w:color w:val="000000"/>
          <w:sz w:val="24"/>
          <w:szCs w:val="24"/>
        </w:rPr>
        <w:t>Table 4.4. Gap and Description</w:t>
      </w:r>
    </w:p>
    <w:p w:rsidR="00A46F0F" w:rsidRPr="004E5D63" w:rsidRDefault="00A46F0F" w:rsidP="00E41B6E">
      <w:pPr>
        <w:pStyle w:val="ListParagraph"/>
        <w:spacing w:line="240" w:lineRule="auto"/>
        <w:ind w:left="90"/>
        <w:jc w:val="both"/>
        <w:rPr>
          <w:rFonts w:ascii="Garamond" w:hAnsi="Garamond" w:cs="Times New Roman"/>
          <w:b/>
          <w:color w:val="000000"/>
          <w:sz w:val="24"/>
          <w:szCs w:val="24"/>
        </w:rPr>
      </w:pPr>
    </w:p>
    <w:tbl>
      <w:tblPr>
        <w:tblStyle w:val="TableGrid"/>
        <w:tblW w:w="0" w:type="auto"/>
        <w:tblInd w:w="90" w:type="dxa"/>
        <w:tblLook w:val="04A0" w:firstRow="1" w:lastRow="0" w:firstColumn="1" w:lastColumn="0" w:noHBand="0" w:noVBand="1"/>
      </w:tblPr>
      <w:tblGrid>
        <w:gridCol w:w="3165"/>
        <w:gridCol w:w="723"/>
        <w:gridCol w:w="5598"/>
      </w:tblGrid>
      <w:tr w:rsidR="00616702" w:rsidTr="00EB1AAD">
        <w:tc>
          <w:tcPr>
            <w:tcW w:w="3165" w:type="dxa"/>
          </w:tcPr>
          <w:p w:rsidR="00EB1AAD" w:rsidRPr="004E5D63" w:rsidRDefault="00C02436" w:rsidP="00E41B6E">
            <w:pPr>
              <w:pStyle w:val="ListParagraph"/>
              <w:ind w:left="0"/>
              <w:jc w:val="center"/>
              <w:rPr>
                <w:rFonts w:ascii="Garamond" w:hAnsi="Garamond" w:cs="Times New Roman"/>
                <w:b/>
                <w:color w:val="000000"/>
                <w:sz w:val="24"/>
                <w:szCs w:val="24"/>
              </w:rPr>
            </w:pPr>
            <w:r w:rsidRPr="004E5D63">
              <w:rPr>
                <w:rFonts w:ascii="Garamond" w:hAnsi="Garamond" w:cs="Times New Roman"/>
                <w:b/>
                <w:color w:val="000000"/>
                <w:sz w:val="24"/>
                <w:szCs w:val="24"/>
              </w:rPr>
              <w:t>Categories</w:t>
            </w:r>
          </w:p>
        </w:tc>
        <w:tc>
          <w:tcPr>
            <w:tcW w:w="723" w:type="dxa"/>
          </w:tcPr>
          <w:p w:rsidR="00EB1AAD" w:rsidRPr="004E5D63" w:rsidRDefault="00C02436" w:rsidP="00E41B6E">
            <w:pPr>
              <w:pStyle w:val="ListParagraph"/>
              <w:ind w:left="0"/>
              <w:jc w:val="center"/>
              <w:rPr>
                <w:rFonts w:ascii="Garamond" w:hAnsi="Garamond" w:cs="Times New Roman"/>
                <w:b/>
                <w:color w:val="000000"/>
                <w:sz w:val="24"/>
                <w:szCs w:val="24"/>
              </w:rPr>
            </w:pPr>
            <w:r w:rsidRPr="004E5D63">
              <w:rPr>
                <w:rFonts w:ascii="Garamond" w:hAnsi="Garamond" w:cs="Times New Roman"/>
                <w:b/>
                <w:color w:val="000000"/>
                <w:sz w:val="24"/>
                <w:szCs w:val="24"/>
              </w:rPr>
              <w:t>Gap</w:t>
            </w:r>
          </w:p>
        </w:tc>
        <w:tc>
          <w:tcPr>
            <w:tcW w:w="5598" w:type="dxa"/>
          </w:tcPr>
          <w:p w:rsidR="00EB1AAD" w:rsidRPr="004E5D63" w:rsidRDefault="00C02436" w:rsidP="00E41B6E">
            <w:pPr>
              <w:pStyle w:val="ListParagraph"/>
              <w:ind w:left="0"/>
              <w:jc w:val="center"/>
              <w:rPr>
                <w:rFonts w:ascii="Garamond" w:hAnsi="Garamond" w:cs="Times New Roman"/>
                <w:b/>
                <w:sz w:val="24"/>
                <w:szCs w:val="24"/>
              </w:rPr>
            </w:pPr>
            <w:r w:rsidRPr="004E5D63">
              <w:rPr>
                <w:rFonts w:ascii="Garamond" w:hAnsi="Garamond" w:cs="Times New Roman"/>
                <w:b/>
                <w:sz w:val="24"/>
                <w:szCs w:val="24"/>
              </w:rPr>
              <w:t>Description</w:t>
            </w:r>
          </w:p>
        </w:tc>
      </w:tr>
      <w:tr w:rsidR="00616702" w:rsidTr="00EB1AAD">
        <w:tc>
          <w:tcPr>
            <w:tcW w:w="3165"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local wisdom belief</w:t>
            </w:r>
          </w:p>
        </w:tc>
        <w:tc>
          <w:tcPr>
            <w:tcW w:w="723"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49%</w:t>
            </w:r>
          </w:p>
        </w:tc>
        <w:tc>
          <w:tcPr>
            <w:tcW w:w="5598"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sz w:val="24"/>
                <w:szCs w:val="24"/>
              </w:rPr>
              <w:t xml:space="preserve">imbalance </w:t>
            </w:r>
          </w:p>
        </w:tc>
      </w:tr>
      <w:tr w:rsidR="00616702" w:rsidTr="00EB1AAD">
        <w:tc>
          <w:tcPr>
            <w:tcW w:w="3165"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social status</w:t>
            </w:r>
          </w:p>
        </w:tc>
        <w:tc>
          <w:tcPr>
            <w:tcW w:w="723"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3%</w:t>
            </w:r>
          </w:p>
        </w:tc>
        <w:tc>
          <w:tcPr>
            <w:tcW w:w="5598"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sz w:val="24"/>
                <w:szCs w:val="24"/>
              </w:rPr>
              <w:t xml:space="preserve">balance </w:t>
            </w:r>
          </w:p>
        </w:tc>
      </w:tr>
      <w:tr w:rsidR="00616702" w:rsidTr="00EB1AAD">
        <w:tc>
          <w:tcPr>
            <w:tcW w:w="3165"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educational background</w:t>
            </w:r>
          </w:p>
        </w:tc>
        <w:tc>
          <w:tcPr>
            <w:tcW w:w="723"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color w:val="000000"/>
                <w:sz w:val="24"/>
                <w:szCs w:val="24"/>
              </w:rPr>
              <w:t>37 %</w:t>
            </w:r>
          </w:p>
        </w:tc>
        <w:tc>
          <w:tcPr>
            <w:tcW w:w="5598" w:type="dxa"/>
          </w:tcPr>
          <w:p w:rsidR="00281B59" w:rsidRPr="004E5D63" w:rsidRDefault="00C02436" w:rsidP="00E41B6E">
            <w:pPr>
              <w:pStyle w:val="ListParagraph"/>
              <w:ind w:left="0"/>
              <w:jc w:val="both"/>
              <w:rPr>
                <w:rFonts w:ascii="Garamond" w:hAnsi="Garamond" w:cs="Times New Roman"/>
                <w:sz w:val="24"/>
                <w:szCs w:val="24"/>
              </w:rPr>
            </w:pPr>
            <w:r w:rsidRPr="004E5D63">
              <w:rPr>
                <w:rFonts w:ascii="Garamond" w:hAnsi="Garamond" w:cs="Times New Roman"/>
                <w:sz w:val="24"/>
                <w:szCs w:val="24"/>
              </w:rPr>
              <w:t>imbalance</w:t>
            </w:r>
          </w:p>
        </w:tc>
      </w:tr>
    </w:tbl>
    <w:p w:rsidR="00281B59" w:rsidRPr="004E5D63" w:rsidRDefault="00281B59" w:rsidP="00E41B6E">
      <w:pPr>
        <w:pStyle w:val="ListParagraph"/>
        <w:spacing w:line="240" w:lineRule="auto"/>
        <w:ind w:left="90"/>
        <w:jc w:val="both"/>
        <w:rPr>
          <w:rFonts w:ascii="Garamond" w:hAnsi="Garamond" w:cs="Times New Roman"/>
          <w:sz w:val="24"/>
          <w:szCs w:val="24"/>
        </w:rPr>
      </w:pPr>
    </w:p>
    <w:p w:rsidR="00C07CF6" w:rsidRPr="009826D6" w:rsidRDefault="00C02436" w:rsidP="00C07CF6">
      <w:pPr>
        <w:pStyle w:val="HTMLPreformatted"/>
        <w:shd w:val="clear" w:color="auto" w:fill="F8F9FA"/>
        <w:ind w:firstLine="720"/>
        <w:jc w:val="both"/>
        <w:rPr>
          <w:rFonts w:ascii="Garamond" w:hAnsi="Garamond" w:cs="Times New Roman"/>
          <w:color w:val="222222"/>
          <w:sz w:val="24"/>
          <w:szCs w:val="24"/>
          <w:lang w:val="en"/>
        </w:rPr>
      </w:pPr>
      <w:r w:rsidRPr="004E5D63">
        <w:rPr>
          <w:rFonts w:ascii="Garamond" w:hAnsi="Garamond" w:cs="Times New Roman"/>
          <w:color w:val="222222"/>
          <w:sz w:val="24"/>
          <w:szCs w:val="24"/>
          <w:lang w:val="en"/>
        </w:rPr>
        <w:t>The table above illustrates the gap in the three categories from female parents who answered the problem formulations in this study</w:t>
      </w:r>
      <w:r w:rsidR="0097707B" w:rsidRPr="004E5D63">
        <w:rPr>
          <w:rFonts w:ascii="Garamond" w:hAnsi="Garamond" w:cs="Times New Roman"/>
          <w:sz w:val="24"/>
          <w:szCs w:val="24"/>
        </w:rPr>
        <w:t xml:space="preserve">: </w:t>
      </w:r>
      <w:r w:rsidR="00C07CF6" w:rsidRPr="004E5D63">
        <w:rPr>
          <w:rFonts w:ascii="Garamond" w:hAnsi="Garamond" w:cs="Times New Roman"/>
          <w:color w:val="222222"/>
          <w:sz w:val="24"/>
          <w:szCs w:val="24"/>
          <w:lang w:val="en"/>
        </w:rPr>
        <w:t>w</w:t>
      </w:r>
      <w:r w:rsidR="00C07CF6">
        <w:rPr>
          <w:rFonts w:ascii="Garamond" w:hAnsi="Garamond" w:cs="Times New Roman"/>
          <w:color w:val="222222"/>
          <w:sz w:val="24"/>
          <w:szCs w:val="24"/>
          <w:lang w:val="en"/>
        </w:rPr>
        <w:t xml:space="preserve">hat is the leading cause of the </w:t>
      </w:r>
      <w:r w:rsidR="00C07CF6" w:rsidRPr="004E5D63">
        <w:rPr>
          <w:rFonts w:ascii="Garamond" w:hAnsi="Garamond" w:cs="Times New Roman"/>
          <w:color w:val="222222"/>
          <w:sz w:val="24"/>
          <w:szCs w:val="24"/>
          <w:lang w:val="en"/>
        </w:rPr>
        <w:t xml:space="preserve">confusion of choosing </w:t>
      </w:r>
      <w:r w:rsidR="00C07CF6" w:rsidRPr="004E5D63">
        <w:rPr>
          <w:rFonts w:ascii="Garamond" w:hAnsi="Garamond" w:cs="Times New Roman"/>
          <w:color w:val="222222"/>
          <w:sz w:val="24"/>
          <w:szCs w:val="24"/>
          <w:lang w:val="en"/>
        </w:rPr>
        <w:lastRenderedPageBreak/>
        <w:t xml:space="preserve">between local wisdom </w:t>
      </w:r>
      <w:proofErr w:type="gramStart"/>
      <w:r w:rsidR="00C07CF6" w:rsidRPr="004E5D63">
        <w:rPr>
          <w:rFonts w:ascii="Garamond" w:hAnsi="Garamond" w:cs="Times New Roman"/>
          <w:color w:val="222222"/>
          <w:sz w:val="24"/>
          <w:szCs w:val="24"/>
          <w:lang w:val="en"/>
        </w:rPr>
        <w:t>or</w:t>
      </w:r>
      <w:proofErr w:type="gramEnd"/>
      <w:r w:rsidR="00C07CF6" w:rsidRPr="004E5D63">
        <w:rPr>
          <w:rFonts w:ascii="Garamond" w:hAnsi="Garamond" w:cs="Times New Roman"/>
          <w:color w:val="222222"/>
          <w:sz w:val="24"/>
          <w:szCs w:val="24"/>
          <w:lang w:val="en"/>
        </w:rPr>
        <w:t xml:space="preserve"> recognition of gender equality in spoken language </w:t>
      </w:r>
      <w:r w:rsidR="006E7FA7">
        <w:rPr>
          <w:rFonts w:ascii="Garamond" w:hAnsi="Garamond" w:cs="Times New Roman"/>
          <w:color w:val="222222"/>
          <w:sz w:val="24"/>
          <w:szCs w:val="24"/>
          <w:lang w:val="en"/>
        </w:rPr>
        <w:t>a</w:t>
      </w:r>
      <w:r w:rsidR="00C07CF6" w:rsidRPr="009826D6">
        <w:rPr>
          <w:rFonts w:ascii="Garamond" w:hAnsi="Garamond" w:cs="Times New Roman"/>
          <w:color w:val="222222"/>
          <w:sz w:val="24"/>
          <w:szCs w:val="24"/>
          <w:lang w:val="en"/>
        </w:rPr>
        <w:t>ddressing</w:t>
      </w:r>
      <w:r w:rsidR="006E7FA7">
        <w:rPr>
          <w:rFonts w:ascii="Garamond" w:hAnsi="Garamond" w:cs="Times New Roman"/>
          <w:color w:val="222222"/>
          <w:sz w:val="24"/>
          <w:szCs w:val="24"/>
          <w:lang w:val="en"/>
        </w:rPr>
        <w:t xml:space="preserve"> among w</w:t>
      </w:r>
      <w:r w:rsidR="00C07CF6" w:rsidRPr="009826D6">
        <w:rPr>
          <w:rFonts w:ascii="Garamond" w:hAnsi="Garamond" w:cs="Times New Roman"/>
          <w:color w:val="222222"/>
          <w:sz w:val="24"/>
          <w:szCs w:val="24"/>
          <w:lang w:val="en"/>
        </w:rPr>
        <w:t xml:space="preserve">omen with </w:t>
      </w:r>
      <w:r w:rsidR="006E7FA7">
        <w:rPr>
          <w:rFonts w:ascii="Garamond" w:hAnsi="Garamond" w:cs="Times New Roman"/>
          <w:color w:val="222222"/>
          <w:sz w:val="24"/>
          <w:szCs w:val="24"/>
          <w:lang w:val="en"/>
        </w:rPr>
        <w:t>respect to their husbands’ t</w:t>
      </w:r>
      <w:r w:rsidR="00C07CF6" w:rsidRPr="009826D6">
        <w:rPr>
          <w:rFonts w:ascii="Garamond" w:hAnsi="Garamond" w:cs="Times New Roman"/>
          <w:color w:val="222222"/>
          <w:sz w:val="24"/>
          <w:szCs w:val="24"/>
          <w:lang w:val="en"/>
        </w:rPr>
        <w:t>itles in their activities?</w:t>
      </w:r>
    </w:p>
    <w:p w:rsidR="00200BFC" w:rsidRPr="004E5D63" w:rsidRDefault="00C02436" w:rsidP="00C42C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 xml:space="preserve">The main confusion in terms of local wisdom belief results in a 49% gap, considered imbalance. It illustrates that more than 50% of female parents and total participants believe in local wisdom in all of their activities. In Javanese custom, women glorify men as leaders in the family to address each other's name by mentioning their husbands' </w:t>
      </w:r>
      <w:r w:rsidR="00600117">
        <w:rPr>
          <w:rFonts w:ascii="Garamond" w:eastAsia="Times New Roman" w:hAnsi="Garamond" w:cs="Times New Roman"/>
          <w:color w:val="222222"/>
          <w:sz w:val="24"/>
          <w:szCs w:val="24"/>
          <w:lang w:val="en"/>
        </w:rPr>
        <w:t>titles</w:t>
      </w:r>
      <w:r w:rsidRPr="004E5D63">
        <w:rPr>
          <w:rFonts w:ascii="Garamond" w:eastAsia="Times New Roman" w:hAnsi="Garamond" w:cs="Times New Roman"/>
          <w:color w:val="222222"/>
          <w:sz w:val="24"/>
          <w:szCs w:val="24"/>
          <w:lang w:val="en"/>
        </w:rPr>
        <w:t xml:space="preserve"> in all activities. The second problem, seen from the husband's work's social status, depicts gab 3%, which is considered balanced. The balance of the number of participants categorized according to husband's occupation illustrates that the husband's identity in their activities is still balanced with their identity, so they often use their names as the identity of their actions. Finally, From an educational background point of view, it depicts a 37% gap, which is considered imbalanced. Most of the mothers still have lower occupational education than their husbands, so that they always boast of their husband's identity as a family authority in their activities, even they always follow what their parents say without thinking critically. </w:t>
      </w:r>
    </w:p>
    <w:p w:rsidR="00672987" w:rsidRPr="004E5D63" w:rsidRDefault="00672987"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Times New Roman" w:hAnsi="Garamond" w:cs="Times New Roman"/>
          <w:color w:val="222222"/>
          <w:sz w:val="24"/>
          <w:szCs w:val="24"/>
          <w:lang w:val="en"/>
        </w:rPr>
      </w:pPr>
    </w:p>
    <w:p w:rsidR="0044126C" w:rsidRPr="004E5D63" w:rsidRDefault="00C02436" w:rsidP="004E5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Times New Roman" w:hAnsi="Garamond" w:cs="Times New Roman"/>
          <w:color w:val="222222"/>
          <w:sz w:val="24"/>
          <w:szCs w:val="24"/>
        </w:rPr>
      </w:pPr>
      <w:r w:rsidRPr="004E5D63">
        <w:rPr>
          <w:rFonts w:ascii="Garamond" w:eastAsia="Times New Roman" w:hAnsi="Garamond" w:cs="Times New Roman"/>
          <w:color w:val="222222"/>
          <w:sz w:val="24"/>
          <w:szCs w:val="24"/>
          <w:lang w:val="en"/>
        </w:rPr>
        <w:t xml:space="preserve">Previous research has reflected the similarities. </w:t>
      </w:r>
      <w:r w:rsidR="00DB24B7" w:rsidRPr="00DB24B7">
        <w:rPr>
          <w:rFonts w:ascii="Garamond" w:eastAsia="Times New Roman" w:hAnsi="Garamond" w:cs="Times New Roman"/>
          <w:color w:val="222222"/>
          <w:sz w:val="24"/>
          <w:szCs w:val="24"/>
          <w:lang w:val="en"/>
        </w:rPr>
        <w:t>Discrepancies and importance to this study's findings are as follows: gender is not an issue in deciding successors; boys and girls are equal, relying on the degree of dedication, obligation, expert</w:t>
      </w:r>
      <w:r w:rsidR="002E7CA4">
        <w:rPr>
          <w:rFonts w:ascii="Garamond" w:eastAsia="Times New Roman" w:hAnsi="Garamond" w:cs="Times New Roman"/>
          <w:color w:val="222222"/>
          <w:sz w:val="24"/>
          <w:szCs w:val="24"/>
          <w:lang w:val="en"/>
        </w:rPr>
        <w:t>ise, or incompetency</w:t>
      </w:r>
      <w:r w:rsidRPr="004E5D63">
        <w:rPr>
          <w:rFonts w:ascii="Garamond" w:eastAsia="Times New Roman" w:hAnsi="Garamond" w:cs="Times New Roman"/>
          <w:color w:val="222222"/>
          <w:sz w:val="24"/>
          <w:szCs w:val="24"/>
          <w:lang w:val="en"/>
        </w:rPr>
        <w:t xml:space="preserve">. </w:t>
      </w:r>
      <w:r w:rsidR="009A22B3" w:rsidRPr="004E5D63">
        <w:rPr>
          <w:rFonts w:ascii="Garamond" w:eastAsia="Times New Roman" w:hAnsi="Garamond" w:cs="Times New Roman"/>
          <w:color w:val="222222"/>
          <w:sz w:val="24"/>
          <w:szCs w:val="24"/>
          <w:lang w:val="en"/>
        </w:rPr>
        <w:fldChar w:fldCharType="begin" w:fldLock="1"/>
      </w:r>
      <w:r w:rsidR="009A22B3" w:rsidRPr="004E5D63">
        <w:rPr>
          <w:rFonts w:ascii="Garamond" w:eastAsia="Times New Roman" w:hAnsi="Garamond" w:cs="Times New Roman"/>
          <w:color w:val="222222"/>
          <w:sz w:val="24"/>
          <w:szCs w:val="24"/>
          <w:lang w:val="en"/>
        </w:rPr>
        <w:instrText>ADDIN CSL_CITATION {"citationItems":[{"id":"ITEM-1","itemData":{"ISSN":"1496-9580","author":[{"dropping-particle":"","family":"Halim","given":"Irwan Pranata","non-dropping-particle":"","parse-names":false,"suffix":""}],"container-title":"Agora - Online Graduate Humanities Journal","id":"ITEM-1","issue":"1","issued":{"date-parts":[["2017"]]},"title":"Analisis Persepsi Orang Tionghoa Jawa Timur Terhadap Calon Suksesor Perempuan Pada Perusahaan Keluarga","type":"article-journal","volume":"5"},"uris":["http://www.mendeley.com/documents/?uuid=c703c4aa-df07-478d-9b42-425b70e15ac7"]}],"mendeley":{"formattedCitation":"(Halim, 2017)","plainTextFormattedCitation":"(Halim, 2017)","previouslyFormattedCitation":"(Halim, 2017)"},"properties":{"noteIndex":0},"schema":"https://github.com/citation-style-language/schema/raw/master/csl-citation.json"}</w:instrText>
      </w:r>
      <w:r w:rsidR="009A22B3" w:rsidRPr="004E5D63">
        <w:rPr>
          <w:rFonts w:ascii="Garamond" w:eastAsia="Times New Roman" w:hAnsi="Garamond" w:cs="Times New Roman"/>
          <w:color w:val="222222"/>
          <w:sz w:val="24"/>
          <w:szCs w:val="24"/>
          <w:lang w:val="en"/>
        </w:rPr>
        <w:fldChar w:fldCharType="separate"/>
      </w:r>
      <w:proofErr w:type="gramStart"/>
      <w:r w:rsidR="009A22B3" w:rsidRPr="004E5D63">
        <w:rPr>
          <w:rFonts w:ascii="Garamond" w:eastAsia="Times New Roman" w:hAnsi="Garamond" w:cs="Times New Roman"/>
          <w:noProof/>
          <w:color w:val="222222"/>
          <w:sz w:val="24"/>
          <w:szCs w:val="24"/>
          <w:lang w:val="en"/>
        </w:rPr>
        <w:t>(Halim, 2017)</w:t>
      </w:r>
      <w:r w:rsidR="009A22B3" w:rsidRPr="004E5D63">
        <w:rPr>
          <w:rFonts w:ascii="Garamond" w:eastAsia="Times New Roman" w:hAnsi="Garamond" w:cs="Times New Roman"/>
          <w:color w:val="222222"/>
          <w:sz w:val="24"/>
          <w:szCs w:val="24"/>
          <w:lang w:val="en"/>
        </w:rPr>
        <w:fldChar w:fldCharType="end"/>
      </w:r>
      <w:r w:rsidR="00672987" w:rsidRPr="004E5D63">
        <w:rPr>
          <w:rFonts w:ascii="Garamond" w:hAnsi="Garamond" w:cs="Times New Roman"/>
          <w:color w:val="000000"/>
          <w:sz w:val="24"/>
          <w:szCs w:val="24"/>
        </w:rPr>
        <w:t>.</w:t>
      </w:r>
      <w:proofErr w:type="gramEnd"/>
      <w:r w:rsidR="00672987" w:rsidRPr="004E5D63">
        <w:rPr>
          <w:rFonts w:ascii="Garamond" w:hAnsi="Garamond" w:cs="Times New Roman"/>
          <w:sz w:val="24"/>
          <w:szCs w:val="24"/>
        </w:rPr>
        <w:t xml:space="preserve"> </w:t>
      </w:r>
      <w:r w:rsidR="00672987" w:rsidRPr="004E5D63">
        <w:rPr>
          <w:rFonts w:ascii="Garamond" w:hAnsi="Garamond" w:cs="Times New Roman"/>
          <w:color w:val="000000"/>
          <w:sz w:val="24"/>
          <w:szCs w:val="24"/>
        </w:rPr>
        <w:t xml:space="preserve">Culture has a strong influence on country </w:t>
      </w:r>
      <w:r w:rsidR="00B82246" w:rsidRPr="004E5D63">
        <w:rPr>
          <w:rFonts w:ascii="Garamond" w:hAnsi="Garamond" w:cs="Times New Roman"/>
          <w:color w:val="000000"/>
          <w:sz w:val="24"/>
          <w:szCs w:val="24"/>
        </w:rPr>
        <w:t>behaviors</w:t>
      </w:r>
      <w:r w:rsidR="00672987" w:rsidRPr="004E5D63">
        <w:rPr>
          <w:rFonts w:ascii="Garamond" w:hAnsi="Garamond" w:cs="Times New Roman"/>
          <w:color w:val="000000"/>
          <w:sz w:val="24"/>
          <w:szCs w:val="24"/>
        </w:rPr>
        <w:t xml:space="preserve">, including gender </w:t>
      </w:r>
      <w:r w:rsidR="0031538C" w:rsidRPr="004E5D63">
        <w:rPr>
          <w:rFonts w:ascii="Garamond" w:hAnsi="Garamond" w:cs="Times New Roman"/>
          <w:color w:val="000000"/>
          <w:sz w:val="24"/>
          <w:szCs w:val="24"/>
        </w:rPr>
        <w:t xml:space="preserve">discrimination </w:t>
      </w:r>
      <w:r w:rsidR="009A22B3" w:rsidRPr="004E5D63">
        <w:rPr>
          <w:rFonts w:ascii="Garamond" w:hAnsi="Garamond" w:cs="Times New Roman"/>
          <w:color w:val="000000"/>
          <w:sz w:val="24"/>
          <w:szCs w:val="24"/>
        </w:rPr>
        <w:fldChar w:fldCharType="begin" w:fldLock="1"/>
      </w:r>
      <w:r w:rsidR="009A22B3" w:rsidRPr="004E5D63">
        <w:rPr>
          <w:rFonts w:ascii="Garamond" w:hAnsi="Garamond" w:cs="Times New Roman"/>
          <w:color w:val="000000"/>
          <w:sz w:val="24"/>
          <w:szCs w:val="24"/>
        </w:rPr>
        <w:instrText>ADDIN CSL_CITATION {"citationItems":[{"id":"ITEM-1","itemData":{"DOI":"10.1016/j.leaqua.2015.12.004","ISSN":"10489843","abstract":"In an attempt to explain why the gender gap in leadership positions persists, we propose a model centered on legitimacy. When women hold powerful positions, they have a harder time than men eliciting respect and admiration (i.e., status) from subordinates. As a result, female power-holders are seen as less legitimate than male power-holders. Unless they are able to legitimize their role, relative illegitimacy will prompt a variety of consequences such as more negative subordinate behavior and reduced cooperation when the leader is a woman. Subordinate rejection will likely put female leaders in a precarious mindset, and trigger negative responses toward subordinates; such behavior can confirm negative expectations of female leaders and further undermine female authority in a self-reinforcing cycle of illegitimacy. Leader or organizational features that enhance status attributions and/or lower subordinates' perceptions of power differentials may increase legitimacy for women in leadership roles.","author":[{"dropping-particle":"","family":"Vial","given":"Andrea C.","non-dropping-particle":"","parse-names":false,"suffix":""},{"dropping-particle":"","family":"Napier","given":"Jaime L.","non-dropping-particle":"","parse-names":false,"suffix":""},{"dropping-particle":"","family":"Brescoll","given":"Victoria L.","non-dropping-particle":"","parse-names":false,"suffix":""}],"container-title":"Leadership Quarterly","id":"ITEM-1","issue":"3","issued":{"date-parts":[["2016"]]},"page":"400-414","publisher":"Elsevier Inc.","title":"A bed of thorns: Female leaders and the self-reinforcing cycle of illegitimacy","type":"article-journal","volume":"27"},"uris":["http://www.mendeley.com/documents/?uuid=3b1d1db8-1e5d-4648-9679-03477a6b2a56"]}],"mendeley":{"formattedCitation":"(Vial et al., 2016)","plainTextFormattedCitation":"(Vial et al., 2016)","previouslyFormattedCitation":"(Vial et al., 2016)"},"properties":{"noteIndex":0},"schema":"https://github.com/citation-style-language/schema/raw/master/csl-citation.json"}</w:instrText>
      </w:r>
      <w:r w:rsidR="009A22B3" w:rsidRPr="004E5D63">
        <w:rPr>
          <w:rFonts w:ascii="Garamond" w:hAnsi="Garamond" w:cs="Times New Roman"/>
          <w:color w:val="000000"/>
          <w:sz w:val="24"/>
          <w:szCs w:val="24"/>
        </w:rPr>
        <w:fldChar w:fldCharType="separate"/>
      </w:r>
      <w:r w:rsidR="009A22B3" w:rsidRPr="004E5D63">
        <w:rPr>
          <w:rFonts w:ascii="Garamond" w:hAnsi="Garamond" w:cs="Times New Roman"/>
          <w:noProof/>
          <w:color w:val="000000"/>
          <w:sz w:val="24"/>
          <w:szCs w:val="24"/>
        </w:rPr>
        <w:t>(Vial et al., 2016)</w:t>
      </w:r>
      <w:r w:rsidR="009A22B3" w:rsidRPr="004E5D63">
        <w:rPr>
          <w:rFonts w:ascii="Garamond" w:hAnsi="Garamond" w:cs="Times New Roman"/>
          <w:color w:val="000000"/>
          <w:sz w:val="24"/>
          <w:szCs w:val="24"/>
        </w:rPr>
        <w:fldChar w:fldCharType="end"/>
      </w:r>
      <w:r w:rsidR="0031538C" w:rsidRPr="004E5D63">
        <w:rPr>
          <w:rFonts w:ascii="Garamond" w:hAnsi="Garamond" w:cs="Times New Roman"/>
          <w:color w:val="000000"/>
          <w:sz w:val="24"/>
          <w:szCs w:val="24"/>
        </w:rPr>
        <w:t>.</w:t>
      </w:r>
      <w:r w:rsidR="0031538C" w:rsidRPr="004E5D63">
        <w:rPr>
          <w:rFonts w:ascii="Garamond" w:hAnsi="Garamond" w:cs="Times New Roman"/>
          <w:sz w:val="24"/>
          <w:szCs w:val="24"/>
        </w:rPr>
        <w:t xml:space="preserve"> </w:t>
      </w:r>
      <w:r w:rsidR="002E7CA4" w:rsidRPr="002E7CA4">
        <w:rPr>
          <w:rFonts w:ascii="Garamond" w:hAnsi="Garamond" w:cs="MS Sans Serif"/>
          <w:sz w:val="24"/>
          <w:szCs w:val="24"/>
        </w:rPr>
        <w:t xml:space="preserve">Narrower communities currently recognize that few women are represented in the highest ranks. Moreover, social immobility moderates the laurels to which inclusive practices where both sexes are considered equal-section women to develop as leaders. </w:t>
      </w:r>
      <w:r w:rsidR="009A22B3" w:rsidRPr="004E5D63">
        <w:rPr>
          <w:rFonts w:ascii="Garamond" w:hAnsi="Garamond" w:cs="Times New Roman"/>
          <w:color w:val="000000"/>
          <w:sz w:val="24"/>
          <w:szCs w:val="24"/>
        </w:rPr>
        <w:fldChar w:fldCharType="begin" w:fldLock="1"/>
      </w:r>
      <w:r w:rsidR="009A22B3" w:rsidRPr="004E5D63">
        <w:rPr>
          <w:rFonts w:ascii="Garamond" w:hAnsi="Garamond" w:cs="Times New Roman"/>
          <w:color w:val="000000"/>
          <w:sz w:val="24"/>
          <w:szCs w:val="24"/>
        </w:rPr>
        <w:instrText>ADDIN CSL_CITATION {"citationItems":[{"id":"ITEM-1","itemData":{"DOI":"10.1016/j.jwb.2012.01.013","ISSN":"10909516","abstract":"Women, who have historically been less represented than men in leadership positions, emerge as leaders in some societies more than others. Unlike previous cultural explanations for this effect (rooted in differences in values, practices, or gender roles), we argue that a culture's tightness - its strength of norms and social sanctions - can provoke a resistance to change practices that historically placed men in leadership positions. Tighter cultures will yield fewer women represented among top leadership positions. Moreover, cultural tightness moderates the degree to which egalitarian practices - where individuals from both genders are treated equally - lead women to emerge as leaders. Specifically, differences in egalitarian practices are more likely to predict the emergence of women as leaders among tight rather than loose cultures because such practices are more strongly implemented in tight than weak cultures. Analysis of publicly available data reveals some preliminary support for predictions. This research concludes that loose cultures will be more receptive to changing existing cultural practices, but that tight cultures are more successful in implementing and sustaining such changes. © 2012 Elsevier Inc.","author":[{"dropping-particle":"","family":"Toh","given":"Soo Min","non-dropping-particle":"","parse-names":false,"suffix":""},{"dropping-particle":"","family":"Leonardelli","given":"Geoffrey J.","non-dropping-particle":"","parse-names":false,"suffix":""}],"container-title":"Journal of World Business","id":"ITEM-1","issue":"4","issued":{"date-parts":[["2012"]]},"page":"604-611","publisher":"Elsevier Inc.","title":"Cultural constraints on the emergence of women as leaders","type":"article-journal","volume":"47"},"uris":["http://www.mendeley.com/documents/?uuid=56d80449-7042-4cf6-809a-58292ed226a2"]}],"mendeley":{"formattedCitation":"(Toh &amp; Leonardelli, 2012)","plainTextFormattedCitation":"(Toh &amp; Leonardelli, 2012)","previouslyFormattedCitation":"(Toh &amp; Leonardelli, 2012)"},"properties":{"noteIndex":0},"schema":"https://github.com/citation-style-language/schema/raw/master/csl-citation.json"}</w:instrText>
      </w:r>
      <w:r w:rsidR="009A22B3" w:rsidRPr="004E5D63">
        <w:rPr>
          <w:rFonts w:ascii="Garamond" w:hAnsi="Garamond" w:cs="Times New Roman"/>
          <w:color w:val="000000"/>
          <w:sz w:val="24"/>
          <w:szCs w:val="24"/>
        </w:rPr>
        <w:fldChar w:fldCharType="separate"/>
      </w:r>
      <w:proofErr w:type="gramStart"/>
      <w:r w:rsidR="009A22B3" w:rsidRPr="004E5D63">
        <w:rPr>
          <w:rFonts w:ascii="Garamond" w:hAnsi="Garamond" w:cs="Times New Roman"/>
          <w:noProof/>
          <w:color w:val="000000"/>
          <w:sz w:val="24"/>
          <w:szCs w:val="24"/>
        </w:rPr>
        <w:t>(Toh &amp; Leonardelli, 2012)</w:t>
      </w:r>
      <w:r w:rsidR="009A22B3" w:rsidRPr="004E5D63">
        <w:rPr>
          <w:rFonts w:ascii="Garamond" w:hAnsi="Garamond" w:cs="Times New Roman"/>
          <w:color w:val="000000"/>
          <w:sz w:val="24"/>
          <w:szCs w:val="24"/>
        </w:rPr>
        <w:fldChar w:fldCharType="end"/>
      </w:r>
      <w:r w:rsidR="0031538C" w:rsidRPr="004E5D63">
        <w:rPr>
          <w:rFonts w:ascii="Garamond" w:hAnsi="Garamond" w:cs="Times New Roman"/>
          <w:color w:val="000066"/>
          <w:sz w:val="24"/>
          <w:szCs w:val="24"/>
        </w:rPr>
        <w:t>.</w:t>
      </w:r>
      <w:proofErr w:type="gramEnd"/>
      <w:r w:rsidR="0031538C" w:rsidRPr="004E5D63">
        <w:rPr>
          <w:rFonts w:ascii="Garamond" w:hAnsi="Garamond" w:cs="Times New Roman"/>
          <w:sz w:val="24"/>
          <w:szCs w:val="24"/>
        </w:rPr>
        <w:t xml:space="preserve"> </w:t>
      </w:r>
      <w:r w:rsidR="002E7CA4" w:rsidRPr="002E7CA4">
        <w:rPr>
          <w:rFonts w:ascii="Garamond" w:hAnsi="Garamond" w:cs="Times New Roman"/>
          <w:color w:val="242021"/>
          <w:sz w:val="24"/>
          <w:szCs w:val="24"/>
        </w:rPr>
        <w:t>The connection between "country" and "femininity" in prominent positions in the patriarchal tribal gold contrasts with Western leadership literature. Thus, despite the disadvantage of feminists in the traditional Arab elite, soul supervisors have described their femininity as a vantage point and superhuman in, among several other things, diminishing ethnic-professional participation marked by a falsity between conven</w:t>
      </w:r>
      <w:r w:rsidR="002E7CA4">
        <w:rPr>
          <w:rFonts w:ascii="Garamond" w:hAnsi="Garamond" w:cs="Times New Roman"/>
          <w:color w:val="242021"/>
          <w:sz w:val="24"/>
          <w:szCs w:val="24"/>
        </w:rPr>
        <w:t>tional and demythologized codes</w:t>
      </w:r>
      <w:r w:rsidR="00A87B9E" w:rsidRPr="00A87B9E">
        <w:rPr>
          <w:rFonts w:ascii="Garamond" w:hAnsi="Garamond" w:cs="Times New Roman"/>
          <w:color w:val="242021"/>
          <w:sz w:val="24"/>
          <w:szCs w:val="24"/>
        </w:rPr>
        <w:t xml:space="preserve">, and in attractive on an interpersonal role in the empowerment of </w:t>
      </w:r>
      <w:r w:rsidR="007E26BD">
        <w:rPr>
          <w:rFonts w:ascii="Garamond" w:hAnsi="Garamond" w:cs="Times New Roman"/>
          <w:color w:val="242021"/>
          <w:sz w:val="24"/>
          <w:szCs w:val="24"/>
        </w:rPr>
        <w:t>Bedouin</w:t>
      </w:r>
      <w:r w:rsidR="00A87B9E" w:rsidRPr="00A87B9E">
        <w:rPr>
          <w:rFonts w:ascii="Garamond" w:hAnsi="Garamond" w:cs="Times New Roman"/>
          <w:color w:val="242021"/>
          <w:sz w:val="24"/>
          <w:szCs w:val="24"/>
        </w:rPr>
        <w:t xml:space="preserve"> women in all spheres of</w:t>
      </w:r>
      <w:r w:rsidR="007E26BD">
        <w:rPr>
          <w:rFonts w:ascii="Garamond" w:hAnsi="Garamond" w:cs="Times New Roman"/>
          <w:color w:val="242021"/>
          <w:sz w:val="24"/>
          <w:szCs w:val="24"/>
        </w:rPr>
        <w:t xml:space="preserve"> </w:t>
      </w:r>
      <w:r w:rsidR="00A87B9E" w:rsidRPr="00A87B9E">
        <w:rPr>
          <w:rFonts w:ascii="Garamond" w:hAnsi="Garamond" w:cs="Times New Roman"/>
          <w:color w:val="242021"/>
          <w:sz w:val="24"/>
          <w:szCs w:val="24"/>
        </w:rPr>
        <w:t>life</w:t>
      </w:r>
      <w:r w:rsidR="0031538C" w:rsidRPr="004E5D63">
        <w:rPr>
          <w:rFonts w:ascii="Garamond" w:hAnsi="Garamond" w:cs="Times New Roman"/>
          <w:color w:val="242021"/>
          <w:sz w:val="24"/>
          <w:szCs w:val="24"/>
        </w:rPr>
        <w:t xml:space="preserve"> </w:t>
      </w:r>
      <w:r w:rsidR="009A22B3" w:rsidRPr="004E5D63">
        <w:rPr>
          <w:rFonts w:ascii="Garamond" w:hAnsi="Garamond" w:cs="Times New Roman"/>
          <w:color w:val="242021"/>
          <w:sz w:val="24"/>
          <w:szCs w:val="24"/>
        </w:rPr>
        <w:fldChar w:fldCharType="begin" w:fldLock="1"/>
      </w:r>
      <w:r w:rsidR="009A22B3" w:rsidRPr="004E5D63">
        <w:rPr>
          <w:rFonts w:ascii="Garamond" w:hAnsi="Garamond" w:cs="Times New Roman"/>
          <w:color w:val="242021"/>
          <w:sz w:val="24"/>
          <w:szCs w:val="24"/>
        </w:rPr>
        <w:instrText>ADDIN CSL_CITATION {"citationItems":[{"id":"ITEM-1","itemData":{"DOI":"10.1108/09578230810869301","ISSN":"09578234","abstract":"Purpose - The current paper aims to tell the stories of six female supervisors who have successfully managed to access this high-level position in the Bedouin educational system, putting forward some implications for understanding and exploring the lives and career of women in patriarchal, minority groups. Design/methodology/approach - Six female Muslim supervisors, who work in the Bedouin pre-school system in Israel, participated in semi-structured interviews conducted by the authors. Findings - The stories illustrated a connection between \"power\" and \"femininity\" in leading positions in a patriarchal, tribal society different from the one constructed in the western literature on leadership. Thus, in spite of the inferiority of femininity in the traditional Bedouin society, the female supervisors perceived their femininity to be an advantage and powerful in, among other things, minimizing tribal-professional conflict characterized by a contradiction between traditional and rational codes, and in taking on a social role in the empowerment of Bedouin women in all spheres of life. Practical implications - The paper puts forward some implications for the recruitment and employment of women leaders living and working in patriarchal social groups within a multicultural society. Originality/value - To the best of the authors' knowledge, this is a first attempt to document the lives and careers of female leaders in Bedouin society which is embedded with entrenched norms in respect to gender and the \"place\" of women in the society. The paper, then, provides insights into alternative interpretations of female leadership, power and career. © Emerald Group Publishing Limited.","author":[{"dropping-particle":"","family":"Quader","given":"Sarab Abu Rabia","non-dropping-particle":"","parse-names":false,"suffix":""},{"dropping-particle":"","family":"Oplatka","given":"Izhar","non-dropping-particle":"","parse-names":false,"suffix":""}],"container-title":"Journal of Educational Administration","id":"ITEM-1","issue":"3","issued":{"date-parts":[["2008"]]},"page":"396-415","title":"The power of femininity: Exploring the gender and ethnic experiences of Muslim women who accessed supervisory roles in a Bedouin society","type":"article-journal","volume":"46"},"uris":["http://www.mendeley.com/documents/?uuid=17c93f7f-d319-48c1-be51-4fc737a671e5"]}],"mendeley":{"formattedCitation":"(Quader &amp; Oplatka, 2008)","plainTextFormattedCitation":"(Quader &amp; Oplatka, 2008)","previouslyFormattedCitation":"(Quader &amp; Oplatka, 2008)"},"properties":{"noteIndex":0},"schema":"https://github.com/citation-style-language/schema/raw/master/csl-citation.json"}</w:instrText>
      </w:r>
      <w:r w:rsidR="009A22B3" w:rsidRPr="004E5D63">
        <w:rPr>
          <w:rFonts w:ascii="Garamond" w:hAnsi="Garamond" w:cs="Times New Roman"/>
          <w:color w:val="242021"/>
          <w:sz w:val="24"/>
          <w:szCs w:val="24"/>
        </w:rPr>
        <w:fldChar w:fldCharType="separate"/>
      </w:r>
      <w:r w:rsidR="009A22B3" w:rsidRPr="004E5D63">
        <w:rPr>
          <w:rFonts w:ascii="Garamond" w:hAnsi="Garamond" w:cs="Times New Roman"/>
          <w:noProof/>
          <w:color w:val="242021"/>
          <w:sz w:val="24"/>
          <w:szCs w:val="24"/>
        </w:rPr>
        <w:t>(Quader &amp; Oplatka, 2008)</w:t>
      </w:r>
      <w:r w:rsidR="009A22B3" w:rsidRPr="004E5D63">
        <w:rPr>
          <w:rFonts w:ascii="Garamond" w:hAnsi="Garamond" w:cs="Times New Roman"/>
          <w:color w:val="242021"/>
          <w:sz w:val="24"/>
          <w:szCs w:val="24"/>
        </w:rPr>
        <w:fldChar w:fldCharType="end"/>
      </w:r>
      <w:r w:rsidR="0031538C" w:rsidRPr="004E5D63">
        <w:rPr>
          <w:rFonts w:ascii="Garamond" w:hAnsi="Garamond" w:cs="Times New Roman"/>
          <w:color w:val="242021"/>
          <w:sz w:val="24"/>
          <w:szCs w:val="24"/>
        </w:rPr>
        <w:t>.</w:t>
      </w:r>
      <w:r w:rsidR="00F953E1" w:rsidRPr="004E5D63">
        <w:rPr>
          <w:rFonts w:ascii="Garamond" w:hAnsi="Garamond" w:cs="Times New Roman"/>
          <w:sz w:val="24"/>
          <w:szCs w:val="24"/>
        </w:rPr>
        <w:t xml:space="preserve"> </w:t>
      </w:r>
      <w:r w:rsidR="00F953E1" w:rsidRPr="004E5D63">
        <w:rPr>
          <w:rFonts w:ascii="Garamond" w:hAnsi="Garamond" w:cs="Times New Roman"/>
          <w:color w:val="242021"/>
          <w:sz w:val="24"/>
          <w:szCs w:val="24"/>
        </w:rPr>
        <w:t xml:space="preserve">female power-holders are seen as less legitimate than male power-holders </w:t>
      </w:r>
      <w:r w:rsidR="009A22B3" w:rsidRPr="004E5D63">
        <w:rPr>
          <w:rFonts w:ascii="Garamond" w:hAnsi="Garamond" w:cs="Times New Roman"/>
          <w:color w:val="242021"/>
          <w:sz w:val="24"/>
          <w:szCs w:val="24"/>
        </w:rPr>
        <w:fldChar w:fldCharType="begin" w:fldLock="1"/>
      </w:r>
      <w:r w:rsidR="009A22B3" w:rsidRPr="004E5D63">
        <w:rPr>
          <w:rFonts w:ascii="Garamond" w:hAnsi="Garamond" w:cs="Times New Roman"/>
          <w:color w:val="242021"/>
          <w:sz w:val="24"/>
          <w:szCs w:val="24"/>
        </w:rPr>
        <w:instrText>ADDIN CSL_CITATION {"citationItems":[{"id":"ITEM-1","itemData":{"DOI":"10.1016/j.leaqua.2015.12.004","ISSN":"10489843","abstract":"In an attempt to explain why the gender gap in leadership positions persists, we propose a model centered on legitimacy. When women hold powerful positions, they have a harder time than men eliciting respect and admiration (i.e., status) from subordinates. As a result, female power-holders are seen as less legitimate than male power-holders. Unless they are able to legitimize their role, relative illegitimacy will prompt a variety of consequences such as more negative subordinate behavior and reduced cooperation when the leader is a woman. Subordinate rejection will likely put female leaders in a precarious mindset, and trigger negative responses toward subordinates; such behavior can confirm negative expectations of female leaders and further undermine female authority in a self-reinforcing cycle of illegitimacy. Leader or organizational features that enhance status attributions and/or lower subordinates' perceptions of power differentials may increase legitimacy for women in leadership roles.","author":[{"dropping-particle":"","family":"Vial","given":"Andrea C.","non-dropping-particle":"","parse-names":false,"suffix":""},{"dropping-particle":"","family":"Napier","given":"Jaime L.","non-dropping-particle":"","parse-names":false,"suffix":""},{"dropping-particle":"","family":"Brescoll","given":"Victoria L.","non-dropping-particle":"","parse-names":false,"suffix":""}],"container-title":"Leadership Quarterly","id":"ITEM-1","issue":"3","issued":{"date-parts":[["2016"]]},"page":"400-414","publisher":"Elsevier Inc.","title":"A bed of thorns: Female leaders and the self-reinforcing cycle of illegitimacy","type":"article-journal","volume":"27"},"uris":["http://www.mendeley.com/documents/?uuid=3b1d1db8-1e5d-4648-9679-03477a6b2a56"]}],"mendeley":{"formattedCitation":"(Vial et al., 2016)","plainTextFormattedCitation":"(Vial et al., 2016)","previouslyFormattedCitation":"(Vial et al., 2016)"},"properties":{"noteIndex":0},"schema":"https://github.com/citation-style-language/schema/raw/master/csl-citation.json"}</w:instrText>
      </w:r>
      <w:r w:rsidR="009A22B3" w:rsidRPr="004E5D63">
        <w:rPr>
          <w:rFonts w:ascii="Garamond" w:hAnsi="Garamond" w:cs="Times New Roman"/>
          <w:color w:val="242021"/>
          <w:sz w:val="24"/>
          <w:szCs w:val="24"/>
        </w:rPr>
        <w:fldChar w:fldCharType="separate"/>
      </w:r>
      <w:r w:rsidR="009A22B3" w:rsidRPr="004E5D63">
        <w:rPr>
          <w:rFonts w:ascii="Garamond" w:hAnsi="Garamond" w:cs="Times New Roman"/>
          <w:noProof/>
          <w:color w:val="242021"/>
          <w:sz w:val="24"/>
          <w:szCs w:val="24"/>
        </w:rPr>
        <w:t>(Vial et al., 2016)</w:t>
      </w:r>
      <w:r w:rsidR="009A22B3" w:rsidRPr="004E5D63">
        <w:rPr>
          <w:rFonts w:ascii="Garamond" w:hAnsi="Garamond" w:cs="Times New Roman"/>
          <w:color w:val="242021"/>
          <w:sz w:val="24"/>
          <w:szCs w:val="24"/>
        </w:rPr>
        <w:fldChar w:fldCharType="end"/>
      </w:r>
      <w:r w:rsidR="00F953E1" w:rsidRPr="004E5D63">
        <w:rPr>
          <w:rFonts w:ascii="Garamond" w:hAnsi="Garamond" w:cs="Times New Roman"/>
          <w:color w:val="000000"/>
          <w:sz w:val="24"/>
          <w:szCs w:val="24"/>
        </w:rPr>
        <w:t>.</w:t>
      </w:r>
      <w:r w:rsidR="002E4D6F" w:rsidRPr="004E5D63">
        <w:rPr>
          <w:rFonts w:ascii="Garamond" w:hAnsi="Garamond" w:cs="Times New Roman"/>
          <w:sz w:val="24"/>
          <w:szCs w:val="24"/>
        </w:rPr>
        <w:t xml:space="preserve"> </w:t>
      </w:r>
      <w:r w:rsidR="00A87B9E" w:rsidRPr="00A87B9E">
        <w:rPr>
          <w:rFonts w:ascii="Garamond" w:hAnsi="Garamond" w:cs="Times New Roman"/>
          <w:color w:val="000000"/>
          <w:sz w:val="24"/>
          <w:szCs w:val="24"/>
        </w:rPr>
        <w:t xml:space="preserve">the results present how tribalism and Nomad tariff embedded in the participants' rendering and practices of their religion (along with the existing juristic framework) maintain sexuality gaps in line and positions of a nation. The results also display that despite the Islamic guidelines towards </w:t>
      </w:r>
      <w:r w:rsidR="007E26BD">
        <w:rPr>
          <w:rFonts w:ascii="Garamond" w:hAnsi="Garamond" w:cs="Times New Roman"/>
          <w:color w:val="000000"/>
          <w:sz w:val="24"/>
          <w:szCs w:val="24"/>
        </w:rPr>
        <w:t>Fairness and justice</w:t>
      </w:r>
      <w:r w:rsidR="00A87B9E" w:rsidRPr="00A87B9E">
        <w:rPr>
          <w:rFonts w:ascii="Garamond" w:hAnsi="Garamond" w:cs="Times New Roman"/>
          <w:color w:val="000000"/>
          <w:sz w:val="24"/>
          <w:szCs w:val="24"/>
        </w:rPr>
        <w:t xml:space="preserve"> (haqq and adl) in employment, the tribal and Arabian traditions hold women's work finished </w:t>
      </w:r>
      <w:r w:rsidR="007E26BD">
        <w:rPr>
          <w:rFonts w:ascii="Garamond" w:hAnsi="Garamond" w:cs="Times New Roman"/>
          <w:color w:val="000000"/>
          <w:sz w:val="24"/>
          <w:szCs w:val="24"/>
        </w:rPr>
        <w:t>patriarchal</w:t>
      </w:r>
      <w:r w:rsidR="00A87B9E" w:rsidRPr="00A87B9E">
        <w:rPr>
          <w:rFonts w:ascii="Garamond" w:hAnsi="Garamond" w:cs="Times New Roman"/>
          <w:color w:val="000000"/>
          <w:sz w:val="24"/>
          <w:szCs w:val="24"/>
        </w:rPr>
        <w:t xml:space="preserve"> interpretations </w:t>
      </w:r>
      <w:r w:rsidR="002E4D6F" w:rsidRPr="004E5D63">
        <w:rPr>
          <w:rFonts w:ascii="Garamond" w:hAnsi="Garamond" w:cs="Times New Roman"/>
          <w:color w:val="000000"/>
          <w:sz w:val="24"/>
          <w:szCs w:val="24"/>
        </w:rPr>
        <w:t xml:space="preserve">of Islam Tamer Koburtay1 </w:t>
      </w:r>
      <w:r w:rsidR="004F26B2" w:rsidRPr="004E5D63">
        <w:rPr>
          <w:rFonts w:ascii="Garamond" w:hAnsi="Garamond" w:cs="Times New Roman"/>
          <w:color w:val="000000"/>
          <w:sz w:val="24"/>
          <w:szCs w:val="24"/>
        </w:rPr>
        <w:t xml:space="preserve">· </w:t>
      </w:r>
      <w:r w:rsidR="002E4D6F" w:rsidRPr="004E5D63">
        <w:rPr>
          <w:rFonts w:ascii="Garamond" w:hAnsi="Garamond" w:cs="Times New Roman"/>
          <w:color w:val="000000"/>
          <w:sz w:val="24"/>
          <w:szCs w:val="24"/>
        </w:rPr>
        <w:t xml:space="preserve">Jawad Syed2 · </w:t>
      </w:r>
      <w:r w:rsidR="009A22B3" w:rsidRPr="004E5D63">
        <w:rPr>
          <w:rFonts w:ascii="Garamond" w:hAnsi="Garamond" w:cs="Times New Roman"/>
          <w:color w:val="000000"/>
          <w:sz w:val="24"/>
          <w:szCs w:val="24"/>
        </w:rPr>
        <w:fldChar w:fldCharType="begin" w:fldLock="1"/>
      </w:r>
      <w:r w:rsidR="009A22B3" w:rsidRPr="004E5D63">
        <w:rPr>
          <w:rFonts w:ascii="Garamond" w:hAnsi="Garamond" w:cs="Times New Roman"/>
          <w:color w:val="000000"/>
          <w:sz w:val="24"/>
          <w:szCs w:val="24"/>
        </w:rPr>
        <w:instrText>ADDIN CSL_CITATION {"citationItems":[{"id":"ITEM-1","itemData":{"DOI":"10.1007/s10551-018-4036-6","ISBN":"0123456789","ISSN":"15730697","abstract":"With a view to consolidating the existing theory development and stimulating new conceptual thinking, this paper explores the implications of culture, religion (Islam), and the legal framework on women’s employment and their limited advancement in the hospitality industry, one of the important elements of the economy in Jordan. A related aim is to contrast the egalitarian Islamic approach to gender equality with gender discriminatory tribal traditions that restrict women’s employment and progression. Guided by religion, culture, and gender literature, this study uses a qualitative, content-based analysis. Drawing on open-ended questionnaires distributed to a diverse workforce across four tourist locations in Jordan, the results portray how tribalism and Bedouin customs embedded in the participants’ interpretation and practices of their religion (along with the existing legal framework) are maintaining gender gaps in employment and positions of power. The results also reveal that despite the Islamic guidelines towards fairness and justice (haqq and adl) in employment, the tribal and Bedouin traditions restrict women’s employment through patriarchal interpretations of Islam. Thus, the salient novelty and significance of this study were achieved through contributing to the theory development of the interrelations between religion, culture, and gender equality.","author":[{"dropping-particle":"","family":"Koburtay","given":"Tamer","non-dropping-particle":"","parse-names":false,"suffix":""},{"dropping-particle":"","family":"Syed","given":"Jawad","non-dropping-particle":"","parse-names":false,"suffix":""},{"dropping-particle":"","family":"Haloub","given":"Radi","non-dropping-particle":"","parse-names":false,"suffix":""}],"container-title":"Journal of Business Ethics","id":"ITEM-1","issue":"3","issued":{"date-parts":[["2020"]]},"page":"421-436","publisher":"Springer Netherlands","title":"Implications of Religion, Culture, and Legislation for Gender Equality at Work: Qualitative Insights from Jordan","type":"article-journal","volume":"164"},"uris":["http://www.mendeley.com/documents/?uuid=cca42f29-2ea5-4b27-923d-62c5631548dc"]}],"mendeley":{"formattedCitation":"(Koburtay et al., 2020)","plainTextFormattedCitation":"(Koburtay et al., 2020)","previouslyFormattedCitation":"(Koburtay et al., 2020)"},"properties":{"noteIndex":0},"schema":"https://github.com/citation-style-language/schema/raw/master/csl-citation.json"}</w:instrText>
      </w:r>
      <w:r w:rsidR="009A22B3" w:rsidRPr="004E5D63">
        <w:rPr>
          <w:rFonts w:ascii="Garamond" w:hAnsi="Garamond" w:cs="Times New Roman"/>
          <w:color w:val="000000"/>
          <w:sz w:val="24"/>
          <w:szCs w:val="24"/>
        </w:rPr>
        <w:fldChar w:fldCharType="separate"/>
      </w:r>
      <w:r w:rsidR="009A22B3" w:rsidRPr="004E5D63">
        <w:rPr>
          <w:rFonts w:ascii="Garamond" w:hAnsi="Garamond" w:cs="Times New Roman"/>
          <w:noProof/>
          <w:color w:val="000000"/>
          <w:sz w:val="24"/>
          <w:szCs w:val="24"/>
        </w:rPr>
        <w:t>(Koburtay et al., 2020)</w:t>
      </w:r>
      <w:r w:rsidR="009A22B3" w:rsidRPr="004E5D63">
        <w:rPr>
          <w:rFonts w:ascii="Garamond" w:hAnsi="Garamond" w:cs="Times New Roman"/>
          <w:color w:val="000000"/>
          <w:sz w:val="24"/>
          <w:szCs w:val="24"/>
        </w:rPr>
        <w:fldChar w:fldCharType="end"/>
      </w:r>
      <w:r w:rsidR="002E4D6F" w:rsidRPr="004E5D63">
        <w:rPr>
          <w:rFonts w:ascii="Garamond" w:hAnsi="Garamond" w:cs="Times New Roman"/>
          <w:color w:val="000000"/>
          <w:sz w:val="24"/>
          <w:szCs w:val="24"/>
        </w:rPr>
        <w:t xml:space="preserve">. </w:t>
      </w:r>
      <w:r w:rsidR="00A87B9E" w:rsidRPr="00A87B9E">
        <w:rPr>
          <w:rFonts w:ascii="Garamond" w:hAnsi="Garamond" w:cs="Times New Roman"/>
          <w:color w:val="131413"/>
          <w:sz w:val="24"/>
          <w:szCs w:val="24"/>
        </w:rPr>
        <w:t xml:space="preserve">although Islamic women proceed to surface a myriad of challenges in the workplace, they can also tackle whatsoever of these issues through their cause strategies and networks, specified as individualized networks and far upbringing </w:t>
      </w:r>
      <w:r w:rsidR="009A22B3" w:rsidRPr="004E5D63">
        <w:rPr>
          <w:rFonts w:ascii="Garamond" w:hAnsi="Garamond" w:cs="Times New Roman"/>
          <w:color w:val="131413"/>
          <w:sz w:val="24"/>
          <w:szCs w:val="24"/>
        </w:rPr>
        <w:fldChar w:fldCharType="begin" w:fldLock="1"/>
      </w:r>
      <w:r w:rsidR="009D275E" w:rsidRPr="004E5D63">
        <w:rPr>
          <w:rFonts w:ascii="Garamond" w:hAnsi="Garamond" w:cs="Times New Roman"/>
          <w:color w:val="131413"/>
          <w:sz w:val="24"/>
          <w:szCs w:val="24"/>
        </w:rPr>
        <w:instrText>ADDIN CSL_CITATION {"citationItems":[{"id":"ITEM-1","itemData":{"DOI":"10.1007/s11199-017-0741-3","ISBN":"1119901707","ISSN":"15732762","abstract":"Drawing on qualitative interviews with 20 South Asian heritage, Muslim, female leaders, managers, and supervisors in the United Kingdom, we examine the multi-layered issues and challenges they face in pursuit of employment and leadership positions. The paper offers an intersectional perspective taking into account interconnected and overlapping factors (gender, ethnicity, religion, and family status) that affect not only the issues and challenges these women face in the labour market but also the individual agency and strategies they use to overcome any obstacles in the way of their employment and career. The results show that although Muslim women continue to face a myriad of challenges in the workplace, they are also able to tackle some of these issues through their individual strategies and networks, such as personal networks and further education. The study highlights the need for policymakers and employers to consider intersectionality to enable ethnic minority women’s inclusion and leadership within and outside the workplace.","author":[{"dropping-particle":"","family":"Tariq","given":"Memoona","non-dropping-particle":"","parse-names":false,"suffix":""},{"dropping-particle":"","family":"Syed","given":"Jawad","non-dropping-particle":"","parse-names":false,"suffix":""}],"container-title":"Sex Roles","id":"ITEM-1","issue":"7-8","issued":{"date-parts":[["2017"]]},"page":"510-522","publisher":"Sex Roles","title":"Intersectionality at Work: South Asian Muslim Women’s Experiences of Employment and Leadership in the United Kingdom","type":"article-journal","volume":"77"},"uris":["http://www.mendeley.com/documents/?uuid=e64abd2d-61cf-4321-a717-fb8e25c7f376"]}],"mendeley":{"formattedCitation":"(Tariq &amp; Syed, 2017)","plainTextFormattedCitation":"(Tariq &amp; Syed, 2017)","previouslyFormattedCitation":"(Tariq &amp; Syed, 2017)"},"properties":{"noteIndex":0},"schema":"https://github.com/citation-style-language/schema/raw/master/csl-citation.json"}</w:instrText>
      </w:r>
      <w:r w:rsidR="009A22B3" w:rsidRPr="004E5D63">
        <w:rPr>
          <w:rFonts w:ascii="Garamond" w:hAnsi="Garamond" w:cs="Times New Roman"/>
          <w:color w:val="131413"/>
          <w:sz w:val="24"/>
          <w:szCs w:val="24"/>
        </w:rPr>
        <w:fldChar w:fldCharType="separate"/>
      </w:r>
      <w:r w:rsidR="009A22B3" w:rsidRPr="004E5D63">
        <w:rPr>
          <w:rFonts w:ascii="Garamond" w:hAnsi="Garamond" w:cs="Times New Roman"/>
          <w:noProof/>
          <w:color w:val="131413"/>
          <w:sz w:val="24"/>
          <w:szCs w:val="24"/>
        </w:rPr>
        <w:t>(Tariq &amp; Syed, 2017)</w:t>
      </w:r>
      <w:r w:rsidR="009A22B3" w:rsidRPr="004E5D63">
        <w:rPr>
          <w:rFonts w:ascii="Garamond" w:hAnsi="Garamond" w:cs="Times New Roman"/>
          <w:color w:val="131413"/>
          <w:sz w:val="24"/>
          <w:szCs w:val="24"/>
        </w:rPr>
        <w:fldChar w:fldCharType="end"/>
      </w:r>
      <w:r w:rsidR="002E4D6F" w:rsidRPr="004E5D63">
        <w:rPr>
          <w:rFonts w:ascii="Garamond" w:hAnsi="Garamond" w:cs="Times New Roman"/>
          <w:color w:val="131413"/>
          <w:sz w:val="24"/>
          <w:szCs w:val="24"/>
        </w:rPr>
        <w:t xml:space="preserve">. </w:t>
      </w:r>
      <w:r w:rsidR="002E7CA4" w:rsidRPr="002E7CA4">
        <w:rPr>
          <w:rFonts w:ascii="Garamond" w:hAnsi="Garamond" w:cs="Times New Roman"/>
          <w:color w:val="000000"/>
          <w:sz w:val="24"/>
          <w:szCs w:val="24"/>
        </w:rPr>
        <w:t xml:space="preserve">There are no gender disparities, and there is no tension between society and gender in the direction of collectivism-individualism and space, puritanism, and supervision-subordinate relationship. The findings of the analysis change the enhancer to the notion that culture affects organizational activities. </w:t>
      </w:r>
      <w:r w:rsidR="009D275E" w:rsidRPr="004E5D63">
        <w:rPr>
          <w:rFonts w:ascii="Garamond" w:hAnsi="Garamond" w:cs="Times New Roman"/>
          <w:color w:val="000000"/>
          <w:sz w:val="24"/>
          <w:szCs w:val="24"/>
        </w:rPr>
        <w:fldChar w:fldCharType="begin" w:fldLock="1"/>
      </w:r>
      <w:r w:rsidR="009D275E" w:rsidRPr="004E5D63">
        <w:rPr>
          <w:rFonts w:ascii="Garamond" w:hAnsi="Garamond" w:cs="Times New Roman"/>
          <w:color w:val="000000"/>
          <w:sz w:val="24"/>
          <w:szCs w:val="24"/>
        </w:rPr>
        <w:instrText>ADDIN CSL_CITATION {"citationItems":[{"id":"ITEM-1","itemData":{"DOI":"10.5923/j.ijap.20120205.05","ISSN":"2168-5010","author":[{"dropping-particle":"","family":"Marković","given":"Zorica","non-dropping-particle":"","parse-names":false,"suffix":""},{"dropping-particle":"","family":"Sardžoska","given":"Elisaveta","non-dropping-particle":"","parse-names":false,"suffix":""},{"dropping-particle":"","family":"Sotiroska","given":"Kalina","non-dropping-particle":"","parse-names":false,"suffix":""}],"container-title":"International Journal of Applied Psychology","id":"ITEM-1","issue":"5","issued":{"date-parts":[["2012"]]},"page":"104-109","title":"Orientations of the Managers, Culture and Gender: Cross-cultural Study of Supervisor-Subordinate Relationship","type":"article-journal","volume":"2"},"uris":["http://www.mendeley.com/documents/?uuid=54554538-6000-4ad6-8859-83a6a6ac7778"]}],"mendeley":{"formattedCitation":"(Marković et al., 2012)","plainTextFormattedCitation":"(Marković et al., 2012)","previouslyFormattedCitation":"(Marković et al., 2012)"},"properties":{"noteIndex":0},"schema":"https://github.com/citation-style-language/schema/raw/master/csl-citation.json"}</w:instrText>
      </w:r>
      <w:r w:rsidR="009D275E" w:rsidRPr="004E5D63">
        <w:rPr>
          <w:rFonts w:ascii="Garamond" w:hAnsi="Garamond" w:cs="Times New Roman"/>
          <w:color w:val="000000"/>
          <w:sz w:val="24"/>
          <w:szCs w:val="24"/>
        </w:rPr>
        <w:fldChar w:fldCharType="separate"/>
      </w:r>
      <w:proofErr w:type="gramStart"/>
      <w:r w:rsidR="009D275E" w:rsidRPr="004E5D63">
        <w:rPr>
          <w:rFonts w:ascii="Garamond" w:hAnsi="Garamond" w:cs="Times New Roman"/>
          <w:noProof/>
          <w:color w:val="000000"/>
          <w:sz w:val="24"/>
          <w:szCs w:val="24"/>
        </w:rPr>
        <w:t>(Marković et al., 2012)</w:t>
      </w:r>
      <w:r w:rsidR="009D275E" w:rsidRPr="004E5D63">
        <w:rPr>
          <w:rFonts w:ascii="Garamond" w:hAnsi="Garamond" w:cs="Times New Roman"/>
          <w:color w:val="000000"/>
          <w:sz w:val="24"/>
          <w:szCs w:val="24"/>
        </w:rPr>
        <w:fldChar w:fldCharType="end"/>
      </w:r>
      <w:r w:rsidR="002E4D6F" w:rsidRPr="004E5D63">
        <w:rPr>
          <w:rFonts w:ascii="Garamond" w:hAnsi="Garamond" w:cs="Times New Roman"/>
          <w:bCs/>
          <w:color w:val="000000"/>
          <w:sz w:val="24"/>
          <w:szCs w:val="24"/>
        </w:rPr>
        <w:t>.</w:t>
      </w:r>
      <w:proofErr w:type="gramEnd"/>
      <w:r w:rsidR="002E4D6F" w:rsidRPr="004E5D63">
        <w:rPr>
          <w:rFonts w:ascii="Garamond" w:hAnsi="Garamond" w:cs="Times New Roman"/>
          <w:bCs/>
          <w:color w:val="000000"/>
          <w:sz w:val="24"/>
          <w:szCs w:val="24"/>
        </w:rPr>
        <w:t xml:space="preserve"> </w:t>
      </w:r>
      <w:r w:rsidR="00A87B9E" w:rsidRPr="00A87B9E">
        <w:rPr>
          <w:rFonts w:ascii="Garamond" w:hAnsi="Garamond" w:cs="Times New Roman"/>
          <w:color w:val="000000"/>
          <w:sz w:val="24"/>
          <w:szCs w:val="24"/>
        </w:rPr>
        <w:t>Unable interpersonal norms, laws, and practices work at the heart of gender inequality in the Semite group. Hence, the necessity to be added merged in the MDGs to develop a statesman democratic developmental formulation</w:t>
      </w:r>
      <w:r w:rsidR="009D275E" w:rsidRPr="004E5D63">
        <w:rPr>
          <w:rFonts w:ascii="Garamond" w:hAnsi="Garamond" w:cs="Times New Roman"/>
          <w:color w:val="000000"/>
          <w:sz w:val="24"/>
          <w:szCs w:val="24"/>
        </w:rPr>
        <w:fldChar w:fldCharType="begin" w:fldLock="1"/>
      </w:r>
      <w:r w:rsidR="009D275E" w:rsidRPr="004E5D63">
        <w:rPr>
          <w:rFonts w:ascii="Garamond" w:hAnsi="Garamond" w:cs="Times New Roman"/>
          <w:color w:val="000000"/>
          <w:sz w:val="24"/>
          <w:szCs w:val="24"/>
        </w:rPr>
        <w:instrText>ADDIN CSL_CITATION {"citationItems":[{"id":"ITEM-1","itemData":{"ISSN":"15398706","abstract":"This study is an assessment of the Millennium Development Goals in the Arab world with Egypt as a case study. The analysis focuses on access to primary education, gender equality, and women empowerment in the Arab world with special emphasis on Egypt. The study found that most Arab countries are on the right track toward achieving most of the MDGs by 2015. However, discriminatory social norms, laws, and practices are still at the heart of gender inequality in the Arab world, and therefore need to be further incorporated in the MDGs to advance a more egalitarian developmental approach.","author":[{"dropping-particle":"","family":"Sika","given":"Nadine","non-dropping-particle":"","parse-names":false,"suffix":""}],"container-title":"Journal of International Women's Studies","id":"ITEM-1","issue":"3","issued":{"date-parts":[["2011"]]},"page":"27-42","title":"The Millennium Development Goals: Prospects for gender equality in the Arab world","type":"article-journal","volume":"12"},"uris":["http://www.mendeley.com/documents/?uuid=e33886f7-2b44-4b02-a6fe-1c4f6f05db0e"]}],"mendeley":{"formattedCitation":"(Sika, 2011)","plainTextFormattedCitation":"(Sika, 2011)","previouslyFormattedCitation":"(Sika, 2011)"},"properties":{"noteIndex":0},"schema":"https://github.com/citation-style-language/schema/raw/master/csl-citation.json"}</w:instrText>
      </w:r>
      <w:r w:rsidR="009D275E" w:rsidRPr="004E5D63">
        <w:rPr>
          <w:rFonts w:ascii="Garamond" w:hAnsi="Garamond" w:cs="Times New Roman"/>
          <w:color w:val="000000"/>
          <w:sz w:val="24"/>
          <w:szCs w:val="24"/>
        </w:rPr>
        <w:fldChar w:fldCharType="separate"/>
      </w:r>
      <w:r w:rsidR="009D275E" w:rsidRPr="004E5D63">
        <w:rPr>
          <w:rFonts w:ascii="Garamond" w:hAnsi="Garamond" w:cs="Times New Roman"/>
          <w:noProof/>
          <w:color w:val="000000"/>
          <w:sz w:val="24"/>
          <w:szCs w:val="24"/>
        </w:rPr>
        <w:t>(Sika, 2011)</w:t>
      </w:r>
      <w:r w:rsidR="009D275E" w:rsidRPr="004E5D63">
        <w:rPr>
          <w:rFonts w:ascii="Garamond" w:hAnsi="Garamond" w:cs="Times New Roman"/>
          <w:color w:val="000000"/>
          <w:sz w:val="24"/>
          <w:szCs w:val="24"/>
        </w:rPr>
        <w:fldChar w:fldCharType="end"/>
      </w:r>
      <w:r w:rsidR="00BF3277" w:rsidRPr="004E5D63">
        <w:rPr>
          <w:rFonts w:ascii="Garamond" w:hAnsi="Garamond" w:cs="Times New Roman"/>
          <w:color w:val="000000"/>
          <w:sz w:val="24"/>
          <w:szCs w:val="24"/>
        </w:rPr>
        <w:t xml:space="preserve">. </w:t>
      </w:r>
      <w:r w:rsidR="00A87B9E" w:rsidRPr="00A87B9E">
        <w:rPr>
          <w:rFonts w:ascii="Garamond" w:hAnsi="Garamond" w:cs="Times New Roman"/>
          <w:iCs/>
          <w:color w:val="000000"/>
          <w:sz w:val="24"/>
          <w:szCs w:val="24"/>
        </w:rPr>
        <w:t xml:space="preserve">religious </w:t>
      </w:r>
      <w:r w:rsidR="007E26BD" w:rsidRPr="00A87B9E">
        <w:rPr>
          <w:rFonts w:ascii="Garamond" w:hAnsi="Garamond" w:cs="Times New Roman"/>
          <w:iCs/>
          <w:color w:val="000000"/>
          <w:sz w:val="24"/>
          <w:szCs w:val="24"/>
        </w:rPr>
        <w:t>socialization</w:t>
      </w:r>
      <w:r w:rsidR="00A87B9E" w:rsidRPr="00A87B9E">
        <w:rPr>
          <w:rFonts w:ascii="Garamond" w:hAnsi="Garamond" w:cs="Times New Roman"/>
          <w:iCs/>
          <w:color w:val="000000"/>
          <w:sz w:val="24"/>
          <w:szCs w:val="24"/>
        </w:rPr>
        <w:t xml:space="preserve"> is varied and gendered; men and women are tending and seaworthy to diverge from overriding patriarchal pious interpretations </w:t>
      </w:r>
      <w:r w:rsidR="009D275E" w:rsidRPr="004E5D63">
        <w:rPr>
          <w:rFonts w:ascii="Garamond" w:hAnsi="Garamond" w:cs="Times New Roman"/>
          <w:iCs/>
          <w:color w:val="000000"/>
          <w:sz w:val="24"/>
          <w:szCs w:val="24"/>
        </w:rPr>
        <w:fldChar w:fldCharType="begin" w:fldLock="1"/>
      </w:r>
      <w:r w:rsidR="009D275E" w:rsidRPr="004E5D63">
        <w:rPr>
          <w:rFonts w:ascii="Garamond" w:hAnsi="Garamond" w:cs="Times New Roman"/>
          <w:iCs/>
          <w:color w:val="000000"/>
          <w:sz w:val="24"/>
          <w:szCs w:val="24"/>
        </w:rPr>
        <w:instrText>ADDIN CSL_CITATION {"citationItems":[{"id":"ITEM-1","itemData":{"DOI":"10.1177/0891243218783670","ISSN":"08912432","abstract":"Much is said about Middle Eastern and North African (MENA) publics opposing gender equality, often referring to patriarchal Islam. However, nuanced large-scale studies addressing which specific aspects of religiosity affect support for gender equality across the MENA are conspicuously absent. This study develops and tests a gendered agentic socialization framework that proposes that MENA citizens are not only passively socialized by religion but also have agency (within their religiosity). This disaggregates the influence of religiosity, highlights its multifacetedness, and theorizes the moderating roles that gender and sociocognitive empowerment play via gendered processes of agentic dissociations. Using 15 World Values Surveys and multilevel models, our analyses show that most dimensions of religiosity fuel opposition to gender equality. However, the salience of religion in daily life is found to increase women’s support for gender equality and cushion the negative impact of religious service attendance. Also, gender and education moderate the impacts of several religiosity dimensions; for instance, women’s (initially greater) support for gender equality more sharply declines with increased service attendance than men’s. Altogether, this study finds that religious socialization is multifaceted and gendered, and that certain men and women are inclined and equipped to deviate from dominant patriarchal religious interpretations.","author":[{"dropping-particle":"","family":"Glas","given":"Saskia","non-dropping-particle":"","parse-names":false,"suffix":""},{"dropping-particle":"","family":"Spierings","given":"Niels","non-dropping-particle":"","parse-names":false,"suffix":""},{"dropping-particle":"","family":"Scheepers","given":"Peer","non-dropping-particle":"","parse-names":false,"suffix":""}],"container-title":"Gender and Society","id":"ITEM-1","issue":"5","issued":{"date-parts":[["2018"]]},"page":"686-712","title":"Re-Understanding Religion and Support for Gender Equality in Arab Countries","type":"article-journal","volume":"32"},"uris":["http://www.mendeley.com/documents/?uuid=0197feb6-d516-463a-8a89-1623f5073a31"]}],"mendeley":{"formattedCitation":"(Glas et al., 2018)","plainTextFormattedCitation":"(Glas et al., 2018)","previouslyFormattedCitation":"(Glas et al., 2018)"},"properties":{"noteIndex":0},"schema":"https://github.com/citation-style-language/schema/raw/master/csl-citation.json"}</w:instrText>
      </w:r>
      <w:r w:rsidR="009D275E" w:rsidRPr="004E5D63">
        <w:rPr>
          <w:rFonts w:ascii="Garamond" w:hAnsi="Garamond" w:cs="Times New Roman"/>
          <w:iCs/>
          <w:color w:val="000000"/>
          <w:sz w:val="24"/>
          <w:szCs w:val="24"/>
        </w:rPr>
        <w:fldChar w:fldCharType="separate"/>
      </w:r>
      <w:r w:rsidR="009D275E" w:rsidRPr="004E5D63">
        <w:rPr>
          <w:rFonts w:ascii="Garamond" w:hAnsi="Garamond" w:cs="Times New Roman"/>
          <w:iCs/>
          <w:noProof/>
          <w:color w:val="000000"/>
          <w:sz w:val="24"/>
          <w:szCs w:val="24"/>
        </w:rPr>
        <w:t>(Glas et al., 2018)</w:t>
      </w:r>
      <w:r w:rsidR="009D275E" w:rsidRPr="004E5D63">
        <w:rPr>
          <w:rFonts w:ascii="Garamond" w:hAnsi="Garamond" w:cs="Times New Roman"/>
          <w:iCs/>
          <w:color w:val="000000"/>
          <w:sz w:val="24"/>
          <w:szCs w:val="24"/>
        </w:rPr>
        <w:fldChar w:fldCharType="end"/>
      </w:r>
      <w:r w:rsidR="00BF3277" w:rsidRPr="004E5D63">
        <w:rPr>
          <w:rFonts w:ascii="Garamond" w:hAnsi="Garamond" w:cs="Times New Roman"/>
          <w:iCs/>
          <w:color w:val="000000"/>
          <w:sz w:val="24"/>
          <w:szCs w:val="24"/>
        </w:rPr>
        <w:t>.</w:t>
      </w:r>
      <w:r w:rsidR="00D37810" w:rsidRPr="004E5D63">
        <w:rPr>
          <w:rFonts w:ascii="Garamond" w:hAnsi="Garamond" w:cs="Times New Roman"/>
          <w:sz w:val="24"/>
          <w:szCs w:val="24"/>
        </w:rPr>
        <w:t xml:space="preserve"> </w:t>
      </w:r>
      <w:r w:rsidR="002E7CA4" w:rsidRPr="002E7CA4">
        <w:rPr>
          <w:rFonts w:ascii="Garamond" w:hAnsi="Garamond" w:cs="Times New Roman"/>
          <w:color w:val="000000"/>
          <w:sz w:val="24"/>
          <w:szCs w:val="24"/>
        </w:rPr>
        <w:t xml:space="preserve">While cultural factors constitute a challenge to Asian women 's accounting for elected positions, ethnic factors do not explain the increase in women's descriptive (denotative) status in parliament over the prehistoric two electoral cycles. </w:t>
      </w:r>
      <w:r w:rsidR="009D275E" w:rsidRPr="004E5D63">
        <w:rPr>
          <w:rFonts w:ascii="Garamond" w:hAnsi="Garamond" w:cs="Times New Roman"/>
          <w:color w:val="000000"/>
          <w:sz w:val="24"/>
          <w:szCs w:val="24"/>
        </w:rPr>
        <w:fldChar w:fldCharType="begin" w:fldLock="1"/>
      </w:r>
      <w:r w:rsidR="009D275E" w:rsidRPr="004E5D63">
        <w:rPr>
          <w:rFonts w:ascii="Garamond" w:hAnsi="Garamond" w:cs="Times New Roman"/>
          <w:color w:val="000000"/>
          <w:sz w:val="24"/>
          <w:szCs w:val="24"/>
        </w:rPr>
        <w:instrText>ADDIN CSL_CITATION {"citationItems":[{"id":"ITEM-1","itemData":{"DOI":"10.1080/00472336.2017.1368092","ISSN":"17527554","abstract":"The potential for gender quotas to increase women’s parliamentary representation has been the subject of intense scholarly interest around the world. Although, at a global level, quotas are believed to have contributed to a steady increase in women’s share of parliamentary seats, there is significant variation across regions and countries. The conventional wisdom holds that cultural factors are the major constraint on the gender quota’s potential to deliver more seats to women candidates. The Indonesian experience suggests otherwise. Although cultural factors remain a barrier to Indonesian women’s entry to elected office, cultural factors do not explain the rise and fall in women’s descriptive (numerical) representation in parliament over the past two electoral cycles. Findings from this study suggest that institutional factors, notably changes to the voting system and the consequences for campaign funding, present a more formidable challenge to women’s advance in Indonesia’s party and parliamentary politics. These findings should be of interest to students of gender quotas, affirmative action for women in politics and contemporary Indonesia.","author":[{"dropping-particle":"","family":"Hillman","given":"Ben","non-dropping-particle":"","parse-names":false,"suffix":""}],"container-title":"Journal of Contemporary Asia","id":"ITEM-1","issue":"2","issued":{"date-parts":[["2018"]]},"page":"322-338","publisher":"Routledge","title":"The Limits of Gender Quotas: Women’s Parliamentary Representation in Indonesia","type":"article-journal","volume":"48"},"uris":["http://www.mendeley.com/documents/?uuid=a03d230b-e705-4869-a9d8-e06688b45c8e"]}],"mendeley":{"formattedCitation":"(Hillman, 2018)","plainTextFormattedCitation":"(Hillman, 2018)","previouslyFormattedCitation":"(Hillman, 2018)"},"properties":{"noteIndex":0},"schema":"https://github.com/citation-style-language/schema/raw/master/csl-citation.json"}</w:instrText>
      </w:r>
      <w:r w:rsidR="009D275E" w:rsidRPr="004E5D63">
        <w:rPr>
          <w:rFonts w:ascii="Garamond" w:hAnsi="Garamond" w:cs="Times New Roman"/>
          <w:color w:val="000000"/>
          <w:sz w:val="24"/>
          <w:szCs w:val="24"/>
        </w:rPr>
        <w:fldChar w:fldCharType="separate"/>
      </w:r>
      <w:proofErr w:type="gramStart"/>
      <w:r w:rsidR="009D275E" w:rsidRPr="004E5D63">
        <w:rPr>
          <w:rFonts w:ascii="Garamond" w:hAnsi="Garamond" w:cs="Times New Roman"/>
          <w:noProof/>
          <w:color w:val="000000"/>
          <w:sz w:val="24"/>
          <w:szCs w:val="24"/>
        </w:rPr>
        <w:t>(Hillman, 2018)</w:t>
      </w:r>
      <w:r w:rsidR="009D275E" w:rsidRPr="004E5D63">
        <w:rPr>
          <w:rFonts w:ascii="Garamond" w:hAnsi="Garamond" w:cs="Times New Roman"/>
          <w:color w:val="000000"/>
          <w:sz w:val="24"/>
          <w:szCs w:val="24"/>
        </w:rPr>
        <w:fldChar w:fldCharType="end"/>
      </w:r>
      <w:r w:rsidR="00EE540C" w:rsidRPr="004E5D63">
        <w:rPr>
          <w:rFonts w:ascii="Garamond" w:hAnsi="Garamond" w:cs="Times New Roman"/>
          <w:color w:val="303192"/>
          <w:sz w:val="24"/>
          <w:szCs w:val="24"/>
        </w:rPr>
        <w:t>.</w:t>
      </w:r>
      <w:proofErr w:type="gramEnd"/>
      <w:r w:rsidR="00EE540C" w:rsidRPr="004E5D63">
        <w:rPr>
          <w:rFonts w:ascii="Garamond" w:hAnsi="Garamond" w:cs="Times New Roman"/>
          <w:color w:val="303192"/>
          <w:sz w:val="24"/>
          <w:szCs w:val="24"/>
        </w:rPr>
        <w:t xml:space="preserve"> </w:t>
      </w:r>
      <w:r w:rsidR="002E7CA4" w:rsidRPr="002E7CA4">
        <w:rPr>
          <w:rFonts w:ascii="Garamond" w:hAnsi="Garamond" w:cs="Times New Roman"/>
          <w:color w:val="242021"/>
          <w:sz w:val="24"/>
          <w:szCs w:val="24"/>
        </w:rPr>
        <w:t xml:space="preserve">Female politicians who are separate from their sexuality were viewed as stable lower qualified, and weaker preferred than an individual whose very </w:t>
      </w:r>
      <w:r w:rsidR="002E7CA4" w:rsidRPr="002E7CA4">
        <w:rPr>
          <w:rFonts w:ascii="Garamond" w:hAnsi="Garamond" w:cs="Times New Roman"/>
          <w:color w:val="242021"/>
          <w:sz w:val="24"/>
          <w:szCs w:val="24"/>
        </w:rPr>
        <w:lastRenderedPageBreak/>
        <w:t xml:space="preserve">name was described as the creator of the macho call. </w:t>
      </w:r>
      <w:r w:rsidR="009D275E" w:rsidRPr="004E5D63">
        <w:rPr>
          <w:rFonts w:ascii="Garamond" w:hAnsi="Garamond" w:cs="Times New Roman"/>
          <w:color w:val="242021"/>
          <w:sz w:val="24"/>
          <w:szCs w:val="24"/>
        </w:rPr>
        <w:fldChar w:fldCharType="begin" w:fldLock="1"/>
      </w:r>
      <w:r w:rsidR="009D275E" w:rsidRPr="004E5D63">
        <w:rPr>
          <w:rFonts w:ascii="Garamond" w:hAnsi="Garamond" w:cs="Times New Roman"/>
          <w:color w:val="242021"/>
          <w:sz w:val="24"/>
          <w:szCs w:val="24"/>
        </w:rPr>
        <w:instrText>ADDIN CSL_CITATION {"citationItems":[{"id":"ITEM-1","itemData":{"DOI":"10.1111/1468-5965.00258","ISSN":"00219886","abstract":"This article examines the effects of Economic and Monetary Union (EMU) as a case study of Europeanization of EU Member States. Emphasis is placed on what these effects are, how they take place, and who is affected. The stress is on the diversity of these effects within a framework of powerful systemic pressures for convergence and on the different strategies and constructions placed on EMU by domestic elites. The extent of policy convergence is seen as contingent on the dynamic interactions between 'top-down' and 'bottom-up' aspects of EMU. How EMU affects states is pictured as a combination of 'thick' effects (captured by constructivism) and 'thin' effects (highlighted by rationalist approaches). The thick effects are confined to a small transnational policy community. But EMU has strengthened the domestic power of actors involved with this community. The article considers the implications for problems of conflict between elite and public discourse about Europe; for a differential Europe; and for the form of relationship amongst European states (semi-sovereignty and competition for cognitive leadership). A key shift is from adapting to a German monetary hegemony under the ERM to a more open competition for cognitive leadership, offering to small states new scope for influence.","author":[{"dropping-particle":"","family":"Dyson","given":"Kenneth","non-dropping-particle":"","parse-names":false,"suffix":""}],"container-title":"Journal of Common Market Studies","id":"ITEM-1","issue":"4","issued":{"date-parts":[["2000"]]},"page":"645-666","title":"EMU as Europeanization: Convergence, diversity and contingency","type":"article-journal","volume":"38"},"uris":["http://www.mendeley.com/documents/?uuid=0a35c771-62e3-4e5e-b15d-587f4a1aaa6d"]}],"mendeley":{"formattedCitation":"(Dyson, 2000)","plainTextFormattedCitation":"(Dyson, 2000)","previouslyFormattedCitation":"(Dyson, 2000)"},"properties":{"noteIndex":0},"schema":"https://github.com/citation-style-language/schema/raw/master/csl-citation.json"}</w:instrText>
      </w:r>
      <w:r w:rsidR="009D275E" w:rsidRPr="004E5D63">
        <w:rPr>
          <w:rFonts w:ascii="Garamond" w:hAnsi="Garamond" w:cs="Times New Roman"/>
          <w:color w:val="242021"/>
          <w:sz w:val="24"/>
          <w:szCs w:val="24"/>
        </w:rPr>
        <w:fldChar w:fldCharType="separate"/>
      </w:r>
      <w:proofErr w:type="gramStart"/>
      <w:r w:rsidR="009D275E" w:rsidRPr="004E5D63">
        <w:rPr>
          <w:rFonts w:ascii="Garamond" w:hAnsi="Garamond" w:cs="Times New Roman"/>
          <w:noProof/>
          <w:color w:val="242021"/>
          <w:sz w:val="24"/>
          <w:szCs w:val="24"/>
        </w:rPr>
        <w:t>(Dyson, 2000)</w:t>
      </w:r>
      <w:r w:rsidR="009D275E" w:rsidRPr="004E5D63">
        <w:rPr>
          <w:rFonts w:ascii="Garamond" w:hAnsi="Garamond" w:cs="Times New Roman"/>
          <w:color w:val="242021"/>
          <w:sz w:val="24"/>
          <w:szCs w:val="24"/>
        </w:rPr>
        <w:fldChar w:fldCharType="end"/>
      </w:r>
      <w:r w:rsidR="00EE540C" w:rsidRPr="004E5D63">
        <w:rPr>
          <w:rFonts w:ascii="Garamond" w:hAnsi="Garamond" w:cs="Times New Roman"/>
          <w:color w:val="242021"/>
          <w:sz w:val="24"/>
          <w:szCs w:val="24"/>
        </w:rPr>
        <w:t>.</w:t>
      </w:r>
      <w:proofErr w:type="gramEnd"/>
      <w:r w:rsidR="000817E4" w:rsidRPr="004E5D63">
        <w:rPr>
          <w:rFonts w:ascii="Garamond" w:hAnsi="Garamond" w:cs="Times New Roman"/>
          <w:color w:val="242021"/>
          <w:sz w:val="24"/>
          <w:szCs w:val="24"/>
        </w:rPr>
        <w:t xml:space="preserve"> </w:t>
      </w:r>
      <w:r w:rsidR="002E7CA4" w:rsidRPr="002E7CA4">
        <w:rPr>
          <w:rFonts w:ascii="Garamond" w:hAnsi="Garamond" w:cs="Times New Roman"/>
          <w:color w:val="000000"/>
          <w:sz w:val="24"/>
          <w:szCs w:val="24"/>
        </w:rPr>
        <w:t>Women could be chosen as the offspring of ancestral work and point out to someone between women's maturation and success in work stemma trade.</w:t>
      </w:r>
      <w:r w:rsidR="00DA5981" w:rsidRPr="00DA5981">
        <w:rPr>
          <w:rFonts w:ascii="Garamond" w:hAnsi="Garamond" w:cs="Times New Roman"/>
          <w:color w:val="000000"/>
          <w:sz w:val="24"/>
          <w:szCs w:val="24"/>
        </w:rPr>
        <w:t xml:space="preserve"> </w:t>
      </w:r>
      <w:r w:rsidR="009D275E" w:rsidRPr="004E5D63">
        <w:rPr>
          <w:rFonts w:ascii="Garamond" w:hAnsi="Garamond" w:cs="Times New Roman"/>
          <w:color w:val="000000"/>
          <w:sz w:val="24"/>
          <w:szCs w:val="24"/>
        </w:rPr>
        <w:fldChar w:fldCharType="begin" w:fldLock="1"/>
      </w:r>
      <w:r w:rsidR="009D275E" w:rsidRPr="004E5D63">
        <w:rPr>
          <w:rFonts w:ascii="Garamond" w:hAnsi="Garamond" w:cs="Times New Roman"/>
          <w:color w:val="000000"/>
          <w:sz w:val="24"/>
          <w:szCs w:val="24"/>
        </w:rPr>
        <w:instrText>ADDIN CSL_CITATION {"citationItems":[{"id":"ITEM-1","itemData":{"DOI":"10.1504/IJESB.2016.073972","ISSN":"17418054","abstract":"Most of the countries in Asia are prejudice to Male supremacy in family. The family is often considered as most powerful division of social structure and family businesses are still dominated by Male successor. This research identifies the key characteristics, challenges and chauvinism toward feMale for family business succession by examining specific practices of family business. The case study determines the potential succession, growth, development and addressing the intergenerational-transition issues in family businesses. The results reject the general postulation that selection of successor is based on gender rather than capabilities and skills and women are less competent to take an entrepreneurial role as successor of the family business. Finding concludes that women could be the choice for the selection as the successor of family business and highlighting the relation between the growth and performance by women in undertaking family business.","author":[{"dropping-particle":"","family":"Mathew","given":"Viju","non-dropping-particle":"","parse-names":false,"suffix":""}],"container-title":"International Journal of Entrepreneurship and Small Business","id":"ITEM-1","issue":"2-3","issued":{"date-parts":[["2016"]]},"page":"410-424","title":"Women and family business succession in Asia - Characteristics, challenges and chauvinism","type":"article-journal","volume":"27"},"uris":["http://www.mendeley.com/documents/?uuid=31805d94-f687-43b7-9745-230932943d39"]}],"mendeley":{"formattedCitation":"(Mathew, 2016)","plainTextFormattedCitation":"(Mathew, 2016)","previouslyFormattedCitation":"(Mathew, 2016)"},"properties":{"noteIndex":0},"schema":"https://github.com/citation-style-language/schema/raw/master/csl-citation.json"}</w:instrText>
      </w:r>
      <w:r w:rsidR="009D275E" w:rsidRPr="004E5D63">
        <w:rPr>
          <w:rFonts w:ascii="Garamond" w:hAnsi="Garamond" w:cs="Times New Roman"/>
          <w:color w:val="000000"/>
          <w:sz w:val="24"/>
          <w:szCs w:val="24"/>
        </w:rPr>
        <w:fldChar w:fldCharType="separate"/>
      </w:r>
      <w:proofErr w:type="gramStart"/>
      <w:r w:rsidR="009D275E" w:rsidRPr="004E5D63">
        <w:rPr>
          <w:rFonts w:ascii="Garamond" w:hAnsi="Garamond" w:cs="Times New Roman"/>
          <w:noProof/>
          <w:color w:val="000000"/>
          <w:sz w:val="24"/>
          <w:szCs w:val="24"/>
        </w:rPr>
        <w:t>(Mathew, 2016)</w:t>
      </w:r>
      <w:r w:rsidR="009D275E" w:rsidRPr="004E5D63">
        <w:rPr>
          <w:rFonts w:ascii="Garamond" w:hAnsi="Garamond" w:cs="Times New Roman"/>
          <w:color w:val="000000"/>
          <w:sz w:val="24"/>
          <w:szCs w:val="24"/>
        </w:rPr>
        <w:fldChar w:fldCharType="end"/>
      </w:r>
      <w:r w:rsidR="002239EA" w:rsidRPr="004E5D63">
        <w:rPr>
          <w:rFonts w:ascii="Garamond" w:hAnsi="Garamond" w:cs="Times New Roman"/>
          <w:color w:val="000000"/>
          <w:sz w:val="24"/>
          <w:szCs w:val="24"/>
        </w:rPr>
        <w:t>.</w:t>
      </w:r>
      <w:proofErr w:type="gramEnd"/>
      <w:r w:rsidR="002239EA" w:rsidRPr="004E5D63">
        <w:rPr>
          <w:rFonts w:ascii="Garamond" w:hAnsi="Garamond" w:cs="Times New Roman"/>
          <w:color w:val="000000"/>
          <w:sz w:val="24"/>
          <w:szCs w:val="24"/>
        </w:rPr>
        <w:t xml:space="preserve"> </w:t>
      </w:r>
      <w:r w:rsidR="002E7CA4" w:rsidRPr="002E7CA4">
        <w:rPr>
          <w:rFonts w:ascii="Garamond" w:hAnsi="Garamond" w:cs="Times New Roman"/>
          <w:color w:val="000000"/>
          <w:sz w:val="24"/>
          <w:szCs w:val="24"/>
        </w:rPr>
        <w:t>Women's state of government in Crockery has not been substantially improved in the last decades. Women's state's spindled job in the cause framework instrument does not contribute to a permanent advance in women</w:t>
      </w:r>
      <w:r w:rsidR="002E7CA4">
        <w:rPr>
          <w:rFonts w:ascii="Garamond" w:hAnsi="Garamond" w:cs="Times New Roman"/>
          <w:color w:val="000000"/>
          <w:sz w:val="24"/>
          <w:szCs w:val="24"/>
        </w:rPr>
        <w:t>'s semi-political participation</w:t>
      </w:r>
      <w:r w:rsidR="00DA5981">
        <w:rPr>
          <w:rFonts w:ascii="Garamond" w:hAnsi="Garamond" w:cs="Times New Roman"/>
          <w:color w:val="000000"/>
          <w:sz w:val="24"/>
          <w:szCs w:val="24"/>
        </w:rPr>
        <w:t xml:space="preserve"> in China</w:t>
      </w:r>
      <w:r w:rsidR="00DA5981" w:rsidRPr="00DA5981">
        <w:rPr>
          <w:rFonts w:ascii="Garamond" w:hAnsi="Garamond" w:cs="Times New Roman"/>
          <w:color w:val="000000"/>
          <w:sz w:val="24"/>
          <w:szCs w:val="24"/>
        </w:rPr>
        <w:t xml:space="preserve"> </w:t>
      </w:r>
      <w:r w:rsidR="009D275E" w:rsidRPr="004E5D63">
        <w:rPr>
          <w:rFonts w:ascii="Garamond" w:hAnsi="Garamond" w:cs="Times New Roman"/>
          <w:color w:val="000000"/>
          <w:sz w:val="24"/>
          <w:szCs w:val="24"/>
        </w:rPr>
        <w:fldChar w:fldCharType="begin" w:fldLock="1"/>
      </w:r>
      <w:r w:rsidR="004B00A8" w:rsidRPr="004E5D63">
        <w:rPr>
          <w:rFonts w:ascii="Garamond" w:hAnsi="Garamond" w:cs="Times New Roman"/>
          <w:color w:val="000000"/>
          <w:sz w:val="24"/>
          <w:szCs w:val="24"/>
        </w:rPr>
        <w:instrText>ADDIN CSL_CITATION {"citationItems":[{"id":"ITEM-1","itemData":{"ISSN":"15398706","abstract":"Continuous rapid economic growth has made China one of largest economies in the world. Chinese women have been playing an important role in many aspects of socio-economic activities. However, in recent decades overall women's political participation in China has not been significantly improved. The spindled shape of women's representation in the power structures will not support a sustainable improvement in women's political participation in China. This paper argues that high-profile women politicians would contribute to political gender equity, but a broader participation in politics from the grassroots female population is more important and fundamental. Therefore, a proactive policy in women's political participation will only work well when it not only focuses on the middle level of power structures but also on the participation of grassroots groups. © 2014 Journal of International Women's Studies.","author":[{"dropping-particle":"","family":"Zeng","given":"Benxiang","non-dropping-particle":"","parse-names":false,"suffix":""}],"container-title":"Journal of International Women's Studies","id":"ITEM-1","issue":"1","issued":{"date-parts":[["2014"]]},"page":"136-150","title":"Women's political participation in China: Improved or not?","type":"article-journal","volume":"15"},"uris":["http://www.mendeley.com/documents/?uuid=38085df9-5190-4f3a-9df5-80a4cf3db08b"]}],"mendeley":{"formattedCitation":"(Zeng, 2014)","plainTextFormattedCitation":"(Zeng, 2014)","previouslyFormattedCitation":"(Zeng, 2014)"},"properties":{"noteIndex":0},"schema":"https://github.com/citation-style-language/schema/raw/master/csl-citation.json"}</w:instrText>
      </w:r>
      <w:r w:rsidR="009D275E" w:rsidRPr="004E5D63">
        <w:rPr>
          <w:rFonts w:ascii="Garamond" w:hAnsi="Garamond" w:cs="Times New Roman"/>
          <w:color w:val="000000"/>
          <w:sz w:val="24"/>
          <w:szCs w:val="24"/>
        </w:rPr>
        <w:fldChar w:fldCharType="separate"/>
      </w:r>
      <w:r w:rsidR="009D275E" w:rsidRPr="004E5D63">
        <w:rPr>
          <w:rFonts w:ascii="Garamond" w:hAnsi="Garamond" w:cs="Times New Roman"/>
          <w:noProof/>
          <w:color w:val="000000"/>
          <w:sz w:val="24"/>
          <w:szCs w:val="24"/>
        </w:rPr>
        <w:t>(Zeng, 2014)</w:t>
      </w:r>
      <w:r w:rsidR="009D275E" w:rsidRPr="004E5D63">
        <w:rPr>
          <w:rFonts w:ascii="Garamond" w:hAnsi="Garamond" w:cs="Times New Roman"/>
          <w:color w:val="000000"/>
          <w:sz w:val="24"/>
          <w:szCs w:val="24"/>
        </w:rPr>
        <w:fldChar w:fldCharType="end"/>
      </w:r>
      <w:r w:rsidR="002239EA" w:rsidRPr="004E5D63">
        <w:rPr>
          <w:rFonts w:ascii="Garamond" w:hAnsi="Garamond" w:cs="Times New Roman"/>
          <w:color w:val="000000"/>
          <w:sz w:val="24"/>
          <w:szCs w:val="24"/>
        </w:rPr>
        <w:t>.</w:t>
      </w:r>
    </w:p>
    <w:p w:rsidR="007018A6" w:rsidRPr="004E5D63" w:rsidRDefault="007018A6" w:rsidP="00E41B6E">
      <w:pPr>
        <w:pStyle w:val="ListParagraph"/>
        <w:spacing w:line="240" w:lineRule="auto"/>
        <w:jc w:val="both"/>
        <w:rPr>
          <w:rFonts w:ascii="Garamond" w:hAnsi="Garamond" w:cs="Times New Roman"/>
          <w:b/>
          <w:sz w:val="24"/>
          <w:szCs w:val="24"/>
        </w:rPr>
      </w:pPr>
    </w:p>
    <w:p w:rsidR="00CE2627" w:rsidRDefault="00C02436" w:rsidP="00E41B6E">
      <w:pPr>
        <w:pStyle w:val="ListParagraph"/>
        <w:numPr>
          <w:ilvl w:val="0"/>
          <w:numId w:val="1"/>
        </w:numPr>
        <w:spacing w:line="240" w:lineRule="auto"/>
        <w:ind w:left="720"/>
        <w:jc w:val="both"/>
        <w:rPr>
          <w:rFonts w:ascii="Garamond" w:hAnsi="Garamond" w:cs="Times New Roman"/>
          <w:b/>
          <w:sz w:val="24"/>
          <w:szCs w:val="24"/>
        </w:rPr>
      </w:pPr>
      <w:r w:rsidRPr="004E5D63">
        <w:rPr>
          <w:rFonts w:ascii="Garamond" w:hAnsi="Garamond" w:cs="Times New Roman"/>
          <w:b/>
          <w:sz w:val="24"/>
          <w:szCs w:val="24"/>
        </w:rPr>
        <w:t>Conclusion</w:t>
      </w:r>
    </w:p>
    <w:p w:rsidR="00C02436" w:rsidRPr="004E5D63" w:rsidRDefault="00C02436" w:rsidP="00C02436">
      <w:pPr>
        <w:pStyle w:val="ListParagraph"/>
        <w:spacing w:line="240" w:lineRule="auto"/>
        <w:jc w:val="both"/>
        <w:rPr>
          <w:rFonts w:ascii="Garamond" w:hAnsi="Garamond" w:cs="Times New Roman"/>
          <w:b/>
          <w:sz w:val="24"/>
          <w:szCs w:val="24"/>
        </w:rPr>
      </w:pPr>
    </w:p>
    <w:p w:rsidR="00452E7A" w:rsidRPr="004E5D63" w:rsidRDefault="00140F1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r>
        <w:rPr>
          <w:rFonts w:ascii="Garamond" w:eastAsia="Times New Roman" w:hAnsi="Garamond" w:cs="Times New Roman"/>
          <w:color w:val="222222"/>
          <w:sz w:val="24"/>
          <w:szCs w:val="24"/>
          <w:lang w:val="en"/>
        </w:rPr>
        <w:t>Calling the father's name on</w:t>
      </w:r>
      <w:r w:rsidR="00C02436" w:rsidRPr="004E5D63">
        <w:rPr>
          <w:rFonts w:ascii="Garamond" w:eastAsia="Times New Roman" w:hAnsi="Garamond" w:cs="Times New Roman"/>
          <w:color w:val="222222"/>
          <w:sz w:val="24"/>
          <w:szCs w:val="24"/>
          <w:lang w:val="en"/>
        </w:rPr>
        <w:t xml:space="preserve"> every PKK activity in Blitar is a tradition from ancient times until now. It is be</w:t>
      </w:r>
      <w:r w:rsidR="00C02436">
        <w:rPr>
          <w:rFonts w:ascii="Garamond" w:eastAsia="Times New Roman" w:hAnsi="Garamond" w:cs="Times New Roman"/>
          <w:color w:val="222222"/>
          <w:sz w:val="24"/>
          <w:szCs w:val="24"/>
          <w:lang w:val="en"/>
        </w:rPr>
        <w:t xml:space="preserve">lieved by them as local </w:t>
      </w:r>
      <w:r w:rsidR="00C02436" w:rsidRPr="004E5D63">
        <w:rPr>
          <w:rFonts w:ascii="Garamond" w:eastAsia="Times New Roman" w:hAnsi="Garamond" w:cs="Times New Roman"/>
          <w:color w:val="222222"/>
          <w:sz w:val="24"/>
          <w:szCs w:val="24"/>
          <w:lang w:val="en"/>
        </w:rPr>
        <w:t xml:space="preserve">wisdom in which men are considered as leaders in the family and are always respected and considered sacred. And on the contrary, women's struggle to equalize the same position as men continues to be encouraged. The understanding of local cultural relations and gender equality above is the right solution to answer the confusion of debates between the two. </w:t>
      </w:r>
    </w:p>
    <w:p w:rsidR="00452E7A" w:rsidRPr="004E5D63" w:rsidRDefault="00452E7A"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p>
    <w:p w:rsidR="00452E7A"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 xml:space="preserve">Harmony in the three aspects of local wisdom belief, social status, and educational background associated with the struggle for gender equality by women is a very good lesson. It is suitable to be applied to all activities of the capital city of Blitar. Therefore, they will have an understanding of </w:t>
      </w:r>
      <w:r w:rsidR="009E4140">
        <w:rPr>
          <w:rFonts w:ascii="Garamond" w:eastAsia="Times New Roman" w:hAnsi="Garamond" w:cs="Times New Roman"/>
          <w:color w:val="222222"/>
          <w:sz w:val="24"/>
          <w:szCs w:val="24"/>
          <w:lang w:val="en"/>
        </w:rPr>
        <w:t>addressing</w:t>
      </w:r>
      <w:r w:rsidRPr="004E5D63">
        <w:rPr>
          <w:rFonts w:ascii="Garamond" w:eastAsia="Times New Roman" w:hAnsi="Garamond" w:cs="Times New Roman"/>
          <w:color w:val="222222"/>
          <w:sz w:val="24"/>
          <w:szCs w:val="24"/>
          <w:lang w:val="en"/>
        </w:rPr>
        <w:t xml:space="preserve"> habits between their own or husband's </w:t>
      </w:r>
      <w:r w:rsidR="009E524E">
        <w:rPr>
          <w:rFonts w:ascii="Garamond" w:eastAsia="Times New Roman" w:hAnsi="Garamond" w:cs="Times New Roman"/>
          <w:color w:val="222222"/>
          <w:sz w:val="24"/>
          <w:szCs w:val="24"/>
          <w:lang w:val="en"/>
        </w:rPr>
        <w:t>titles</w:t>
      </w:r>
      <w:r w:rsidRPr="004E5D63">
        <w:rPr>
          <w:rFonts w:ascii="Garamond" w:eastAsia="Times New Roman" w:hAnsi="Garamond" w:cs="Times New Roman"/>
          <w:color w:val="222222"/>
          <w:sz w:val="24"/>
          <w:szCs w:val="24"/>
          <w:lang w:val="en"/>
        </w:rPr>
        <w:t xml:space="preserve">. </w:t>
      </w:r>
    </w:p>
    <w:p w:rsidR="00452E7A" w:rsidRPr="004E5D63" w:rsidRDefault="00452E7A"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p>
    <w:p w:rsidR="00452E7A" w:rsidRPr="004E5D63" w:rsidRDefault="00C0243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It is expected that all mothers in PKK activities u</w:t>
      </w:r>
      <w:r w:rsidR="009E524E">
        <w:rPr>
          <w:rFonts w:ascii="Garamond" w:eastAsia="Times New Roman" w:hAnsi="Garamond" w:cs="Times New Roman"/>
          <w:color w:val="222222"/>
          <w:sz w:val="24"/>
          <w:szCs w:val="24"/>
          <w:lang w:val="en"/>
        </w:rPr>
        <w:t xml:space="preserve">se this harmony to </w:t>
      </w:r>
      <w:proofErr w:type="gramStart"/>
      <w:r w:rsidR="009E524E">
        <w:rPr>
          <w:rFonts w:ascii="Garamond" w:eastAsia="Times New Roman" w:hAnsi="Garamond" w:cs="Times New Roman"/>
          <w:color w:val="222222"/>
          <w:sz w:val="24"/>
          <w:szCs w:val="24"/>
          <w:lang w:val="en"/>
        </w:rPr>
        <w:t xml:space="preserve">interact </w:t>
      </w:r>
      <w:r w:rsidRPr="004E5D63">
        <w:rPr>
          <w:rFonts w:ascii="Garamond" w:eastAsia="Times New Roman" w:hAnsi="Garamond" w:cs="Times New Roman"/>
          <w:color w:val="222222"/>
          <w:sz w:val="24"/>
          <w:szCs w:val="24"/>
          <w:lang w:val="en"/>
        </w:rPr>
        <w:t xml:space="preserve"> each</w:t>
      </w:r>
      <w:proofErr w:type="gramEnd"/>
      <w:r w:rsidRPr="004E5D63">
        <w:rPr>
          <w:rFonts w:ascii="Garamond" w:eastAsia="Times New Roman" w:hAnsi="Garamond" w:cs="Times New Roman"/>
          <w:color w:val="222222"/>
          <w:sz w:val="24"/>
          <w:szCs w:val="24"/>
          <w:lang w:val="en"/>
        </w:rPr>
        <w:t xml:space="preserve"> other. So that local wisdom that they believe will be maintained and in line with the status of women's equality.</w:t>
      </w:r>
    </w:p>
    <w:p w:rsidR="00452E7A" w:rsidRPr="004E5D63" w:rsidRDefault="00452E7A"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p>
    <w:p w:rsidR="00452E7A" w:rsidRPr="004E5D63" w:rsidRDefault="00C02436" w:rsidP="00E4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lang w:val="en"/>
        </w:rPr>
      </w:pPr>
      <w:r w:rsidRPr="004E5D63">
        <w:rPr>
          <w:rFonts w:ascii="Garamond" w:eastAsia="Times New Roman" w:hAnsi="Garamond" w:cs="Times New Roman"/>
          <w:color w:val="222222"/>
          <w:sz w:val="24"/>
          <w:szCs w:val="24"/>
          <w:lang w:val="en"/>
        </w:rPr>
        <w:t>Future researchers are expected to make this study's results as a consideration in problem formulation and make decisions about gender cost- construction that is aligned with local wisdom.</w:t>
      </w:r>
    </w:p>
    <w:p w:rsidR="00452E7A" w:rsidRPr="004E5D63" w:rsidRDefault="00C02436" w:rsidP="00E41B6E">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630"/>
        <w:rPr>
          <w:rFonts w:ascii="Garamond" w:eastAsia="Times New Roman" w:hAnsi="Garamond" w:cs="Times New Roman"/>
          <w:color w:val="222222"/>
          <w:sz w:val="24"/>
          <w:szCs w:val="24"/>
        </w:rPr>
      </w:pPr>
      <w:r w:rsidRPr="004E5D63">
        <w:rPr>
          <w:rFonts w:ascii="Garamond" w:eastAsia="Times New Roman" w:hAnsi="Garamond" w:cs="Times New Roman"/>
          <w:color w:val="222222"/>
          <w:sz w:val="24"/>
          <w:szCs w:val="24"/>
          <w:lang w:val="en"/>
        </w:rPr>
        <w:t>And for language and culture teachers, this research will be beneficial as a provision for teaching about the close relationship between feminism and local wisdom in everyday life from children to adults.</w:t>
      </w:r>
    </w:p>
    <w:p w:rsidR="00912DB1" w:rsidRPr="004E5D63" w:rsidRDefault="00912DB1" w:rsidP="00E41B6E">
      <w:pPr>
        <w:pStyle w:val="ListParagraph"/>
        <w:spacing w:line="240" w:lineRule="auto"/>
        <w:ind w:left="90" w:firstLine="630"/>
        <w:jc w:val="both"/>
        <w:rPr>
          <w:rFonts w:ascii="Garamond" w:hAnsi="Garamond" w:cs="Times New Roman"/>
          <w:sz w:val="24"/>
          <w:szCs w:val="24"/>
        </w:rPr>
      </w:pPr>
    </w:p>
    <w:p w:rsidR="004B00A8" w:rsidRPr="004E5D63" w:rsidRDefault="00C02436" w:rsidP="00B82246">
      <w:pPr>
        <w:pStyle w:val="ListParagraph"/>
        <w:spacing w:line="240" w:lineRule="auto"/>
        <w:jc w:val="both"/>
        <w:rPr>
          <w:rFonts w:ascii="Garamond" w:hAnsi="Garamond" w:cs="Times New Roman"/>
          <w:b/>
          <w:sz w:val="24"/>
          <w:szCs w:val="24"/>
        </w:rPr>
      </w:pPr>
      <w:r w:rsidRPr="004E5D63">
        <w:rPr>
          <w:rFonts w:ascii="Garamond" w:hAnsi="Garamond" w:cs="Times New Roman"/>
          <w:b/>
          <w:sz w:val="24"/>
          <w:szCs w:val="24"/>
        </w:rPr>
        <w:t xml:space="preserve"> References </w:t>
      </w:r>
    </w:p>
    <w:p w:rsidR="00D30CE2" w:rsidRPr="00D30CE2" w:rsidRDefault="00C02436" w:rsidP="00D30CE2">
      <w:pPr>
        <w:widowControl w:val="0"/>
        <w:autoSpaceDE w:val="0"/>
        <w:autoSpaceDN w:val="0"/>
        <w:adjustRightInd w:val="0"/>
        <w:spacing w:line="240" w:lineRule="auto"/>
        <w:ind w:left="480" w:hanging="480"/>
        <w:rPr>
          <w:rFonts w:ascii="Garamond" w:hAnsi="Garamond" w:cs="Times New Roman"/>
          <w:noProof/>
          <w:sz w:val="24"/>
          <w:szCs w:val="24"/>
        </w:rPr>
      </w:pPr>
      <w:r w:rsidRPr="004E5D63">
        <w:rPr>
          <w:rFonts w:ascii="Garamond" w:hAnsi="Garamond" w:cs="Times New Roman"/>
          <w:b/>
          <w:sz w:val="24"/>
          <w:szCs w:val="24"/>
        </w:rPr>
        <w:fldChar w:fldCharType="begin" w:fldLock="1"/>
      </w:r>
      <w:r w:rsidRPr="004E5D63">
        <w:rPr>
          <w:rFonts w:ascii="Garamond" w:hAnsi="Garamond" w:cs="Times New Roman"/>
          <w:b/>
          <w:sz w:val="24"/>
          <w:szCs w:val="24"/>
        </w:rPr>
        <w:instrText xml:space="preserve">ADDIN Mendeley Bibliography CSL_BIBLIOGRAPHY </w:instrText>
      </w:r>
      <w:r w:rsidRPr="004E5D63">
        <w:rPr>
          <w:rFonts w:ascii="Garamond" w:hAnsi="Garamond" w:cs="Times New Roman"/>
          <w:b/>
          <w:sz w:val="24"/>
          <w:szCs w:val="24"/>
        </w:rPr>
        <w:fldChar w:fldCharType="separate"/>
      </w:r>
      <w:r w:rsidR="00D30CE2" w:rsidRPr="00D30CE2">
        <w:rPr>
          <w:rFonts w:ascii="Garamond" w:hAnsi="Garamond" w:cs="Times New Roman"/>
          <w:noProof/>
          <w:sz w:val="24"/>
          <w:szCs w:val="24"/>
        </w:rPr>
        <w:t xml:space="preserve">Booth, C., &amp; Bennett, C. (2002). Gender mainstreaming in the European Union: Towards a new conception and practice of equal opportunities? </w:t>
      </w:r>
      <w:r w:rsidR="00D30CE2" w:rsidRPr="00D30CE2">
        <w:rPr>
          <w:rFonts w:ascii="Garamond" w:hAnsi="Garamond" w:cs="Times New Roman"/>
          <w:i/>
          <w:iCs/>
          <w:noProof/>
          <w:sz w:val="24"/>
          <w:szCs w:val="24"/>
        </w:rPr>
        <w:t>European Journal of Women’s Studies</w:t>
      </w:r>
      <w:r w:rsidR="00D30CE2" w:rsidRPr="00D30CE2">
        <w:rPr>
          <w:rFonts w:ascii="Garamond" w:hAnsi="Garamond" w:cs="Times New Roman"/>
          <w:noProof/>
          <w:sz w:val="24"/>
          <w:szCs w:val="24"/>
        </w:rPr>
        <w:t xml:space="preserve">, </w:t>
      </w:r>
      <w:r w:rsidR="00D30CE2" w:rsidRPr="00D30CE2">
        <w:rPr>
          <w:rFonts w:ascii="Garamond" w:hAnsi="Garamond" w:cs="Times New Roman"/>
          <w:i/>
          <w:iCs/>
          <w:noProof/>
          <w:sz w:val="24"/>
          <w:szCs w:val="24"/>
        </w:rPr>
        <w:t>9</w:t>
      </w:r>
      <w:r w:rsidR="00D30CE2" w:rsidRPr="00D30CE2">
        <w:rPr>
          <w:rFonts w:ascii="Garamond" w:hAnsi="Garamond" w:cs="Times New Roman"/>
          <w:noProof/>
          <w:sz w:val="24"/>
          <w:szCs w:val="24"/>
        </w:rPr>
        <w:t>(4), 430–446. https://doi.org/10.1177/13505068020090040401</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Borg, M.D., &amp; Ghall, W. . (2007). </w:t>
      </w:r>
      <w:r w:rsidRPr="00D30CE2">
        <w:rPr>
          <w:rFonts w:ascii="Garamond" w:hAnsi="Garamond" w:cs="Times New Roman"/>
          <w:i/>
          <w:iCs/>
          <w:noProof/>
          <w:sz w:val="24"/>
          <w:szCs w:val="24"/>
        </w:rPr>
        <w:t>Educational Research: an Introduction</w:t>
      </w:r>
      <w:r w:rsidRPr="00D30CE2">
        <w:rPr>
          <w:rFonts w:ascii="Garamond" w:hAnsi="Garamond" w:cs="Times New Roman"/>
          <w:noProof/>
          <w:sz w:val="24"/>
          <w:szCs w:val="24"/>
        </w:rPr>
        <w:t xml:space="preserve"> (8th ed.). Pearson/Allyn &amp; Bacon.</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Buvinić, M., &amp; Rao Gupta, G. (1997). Female-headed households and female-maintained families: Are they worth targeting to reduce poverty in developing countries? </w:t>
      </w:r>
      <w:r w:rsidRPr="00D30CE2">
        <w:rPr>
          <w:rFonts w:ascii="Garamond" w:hAnsi="Garamond" w:cs="Times New Roman"/>
          <w:i/>
          <w:iCs/>
          <w:noProof/>
          <w:sz w:val="24"/>
          <w:szCs w:val="24"/>
        </w:rPr>
        <w:t>Economic Development and Cultural Change</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45</w:t>
      </w:r>
      <w:r w:rsidRPr="00D30CE2">
        <w:rPr>
          <w:rFonts w:ascii="Garamond" w:hAnsi="Garamond" w:cs="Times New Roman"/>
          <w:noProof/>
          <w:sz w:val="24"/>
          <w:szCs w:val="24"/>
        </w:rPr>
        <w:t>(2), 258–280. https://doi.org/10.1086/452273</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Craeynest, F. . (2015). </w:t>
      </w:r>
      <w:r w:rsidRPr="00D30CE2">
        <w:rPr>
          <w:rFonts w:ascii="Garamond" w:hAnsi="Garamond" w:cs="Times New Roman"/>
          <w:i/>
          <w:iCs/>
          <w:noProof/>
          <w:sz w:val="24"/>
          <w:szCs w:val="24"/>
        </w:rPr>
        <w:t>Gender Representations in EFL Textbooks: a Quantitative and Qualitative Content Analysis</w:t>
      </w:r>
      <w:r w:rsidRPr="00D30CE2">
        <w:rPr>
          <w:rFonts w:ascii="Garamond" w:hAnsi="Garamond" w:cs="Times New Roman"/>
          <w:noProof/>
          <w:sz w:val="24"/>
          <w:szCs w:val="24"/>
        </w:rPr>
        <w:t>. Ghent University, Ghent, Belgium.</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Dahles, H. (2001). </w:t>
      </w:r>
      <w:r w:rsidRPr="00D30CE2">
        <w:rPr>
          <w:rFonts w:ascii="Garamond" w:hAnsi="Garamond" w:cs="Times New Roman"/>
          <w:i/>
          <w:iCs/>
          <w:noProof/>
          <w:sz w:val="24"/>
          <w:szCs w:val="24"/>
        </w:rPr>
        <w:t>Tourism, Heritage and National Culture in Java: Dilemmas of a Local Community</w:t>
      </w:r>
      <w:r w:rsidRPr="00D30CE2">
        <w:rPr>
          <w:rFonts w:ascii="Garamond" w:hAnsi="Garamond" w:cs="Times New Roman"/>
          <w:noProof/>
          <w:sz w:val="24"/>
          <w:szCs w:val="24"/>
        </w:rPr>
        <w:t>. TJ International, Padstow, Cornwall.</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lastRenderedPageBreak/>
        <w:t xml:space="preserve">Dyson, K. (2000). EMU as Europeanization: Convergence, diversity and contingency. </w:t>
      </w:r>
      <w:r w:rsidRPr="00D30CE2">
        <w:rPr>
          <w:rFonts w:ascii="Garamond" w:hAnsi="Garamond" w:cs="Times New Roman"/>
          <w:i/>
          <w:iCs/>
          <w:noProof/>
          <w:sz w:val="24"/>
          <w:szCs w:val="24"/>
        </w:rPr>
        <w:t>Journal of Common Market Studies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38</w:t>
      </w:r>
      <w:r w:rsidRPr="00D30CE2">
        <w:rPr>
          <w:rFonts w:ascii="Garamond" w:hAnsi="Garamond" w:cs="Times New Roman"/>
          <w:noProof/>
          <w:sz w:val="24"/>
          <w:szCs w:val="24"/>
        </w:rPr>
        <w:t>(4), 645–666. https://doi.org/10.1111/1468-5965.00258</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Echo-hawk, A. R. C., Url, S., &amp; Echo-hawk, R. C. (2013). </w:t>
      </w:r>
      <w:r w:rsidRPr="00D30CE2">
        <w:rPr>
          <w:rFonts w:ascii="Garamond" w:hAnsi="Garamond" w:cs="Times New Roman"/>
          <w:i/>
          <w:iCs/>
          <w:noProof/>
          <w:sz w:val="24"/>
          <w:szCs w:val="24"/>
        </w:rPr>
        <w:t>Society for American Archaeology Ancient History in the New World</w:t>
      </w:r>
      <w:r w:rsidRPr="00D30CE2">
        <w:rPr>
          <w:rFonts w:ascii="Times New Roman" w:hAnsi="Times New Roman" w:cs="Times New Roman"/>
          <w:i/>
          <w:iCs/>
          <w:noProof/>
          <w:sz w:val="24"/>
          <w:szCs w:val="24"/>
        </w:rPr>
        <w:t> </w:t>
      </w:r>
      <w:r w:rsidRPr="00D30CE2">
        <w:rPr>
          <w:rFonts w:ascii="Garamond" w:hAnsi="Garamond" w:cs="Times New Roman"/>
          <w:i/>
          <w:iCs/>
          <w:noProof/>
          <w:sz w:val="24"/>
          <w:szCs w:val="24"/>
        </w:rPr>
        <w:t xml:space="preserve">: Integrating Oral Traditions and the Archaeological Record in Deep Time All use subject to JSTOR Terms and Conditions </w:t>
      </w:r>
      <w:r w:rsidR="005159A1" w:rsidRPr="00D30CE2">
        <w:rPr>
          <w:rFonts w:ascii="Garamond" w:hAnsi="Garamond" w:cs="Times New Roman"/>
          <w:i/>
          <w:iCs/>
          <w:noProof/>
          <w:sz w:val="24"/>
          <w:szCs w:val="24"/>
        </w:rPr>
        <w:t>Ancient History In The New World</w:t>
      </w:r>
      <w:r w:rsidR="005159A1" w:rsidRPr="00D30CE2">
        <w:rPr>
          <w:rFonts w:ascii="Times New Roman" w:hAnsi="Times New Roman" w:cs="Times New Roman"/>
          <w:i/>
          <w:iCs/>
          <w:noProof/>
          <w:sz w:val="24"/>
          <w:szCs w:val="24"/>
        </w:rPr>
        <w:t> </w:t>
      </w:r>
      <w:r w:rsidR="005159A1" w:rsidRPr="00D30CE2">
        <w:rPr>
          <w:rFonts w:ascii="Garamond" w:hAnsi="Garamond" w:cs="Times New Roman"/>
          <w:i/>
          <w:iCs/>
          <w:noProof/>
          <w:sz w:val="24"/>
          <w:szCs w:val="24"/>
        </w:rPr>
        <w:t>: Int</w:t>
      </w:r>
      <w:r w:rsidR="005159A1">
        <w:rPr>
          <w:rFonts w:ascii="Garamond" w:hAnsi="Garamond" w:cs="Times New Roman"/>
          <w:i/>
          <w:iCs/>
          <w:noProof/>
          <w:sz w:val="24"/>
          <w:szCs w:val="24"/>
        </w:rPr>
        <w:t xml:space="preserve">egrating Oral Traditions </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65</w:t>
      </w:r>
      <w:r w:rsidRPr="00D30CE2">
        <w:rPr>
          <w:rFonts w:ascii="Garamond" w:hAnsi="Garamond" w:cs="Times New Roman"/>
          <w:noProof/>
          <w:sz w:val="24"/>
          <w:szCs w:val="24"/>
        </w:rPr>
        <w:t>(2), 267–290.</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Eriyanto. (2013). </w:t>
      </w:r>
      <w:r w:rsidRPr="00D30CE2">
        <w:rPr>
          <w:rFonts w:ascii="Garamond" w:hAnsi="Garamond" w:cs="Times New Roman"/>
          <w:i/>
          <w:iCs/>
          <w:noProof/>
          <w:sz w:val="24"/>
          <w:szCs w:val="24"/>
        </w:rPr>
        <w:t>Deskripsi Analisis Wacana, Pengantar Analisis Teks Media</w:t>
      </w:r>
      <w:r w:rsidRPr="00D30CE2">
        <w:rPr>
          <w:rFonts w:ascii="Garamond" w:hAnsi="Garamond" w:cs="Times New Roman"/>
          <w:noProof/>
          <w:sz w:val="24"/>
          <w:szCs w:val="24"/>
        </w:rPr>
        <w:t>. LKIS.</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Ernest, P. (1985). The philosophy of mathematics and mathematics education. </w:t>
      </w:r>
      <w:r w:rsidRPr="00D30CE2">
        <w:rPr>
          <w:rFonts w:ascii="Garamond" w:hAnsi="Garamond" w:cs="Times New Roman"/>
          <w:i/>
          <w:iCs/>
          <w:noProof/>
          <w:sz w:val="24"/>
          <w:szCs w:val="24"/>
        </w:rPr>
        <w:t>International Journal of Mathematical Education in Science and Technology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16</w:t>
      </w:r>
      <w:r w:rsidRPr="00D30CE2">
        <w:rPr>
          <w:rFonts w:ascii="Garamond" w:hAnsi="Garamond" w:cs="Times New Roman"/>
          <w:noProof/>
          <w:sz w:val="24"/>
          <w:szCs w:val="24"/>
        </w:rPr>
        <w:t>(5), 603–612. https://doi.org/10.1080/0020739850160505</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Glas, S., Spierings, N., &amp; Scheepers, P. (2018). Re-Understanding Religion and Support for Gender Equality in Arab Countries. </w:t>
      </w:r>
      <w:r w:rsidRPr="00D30CE2">
        <w:rPr>
          <w:rFonts w:ascii="Garamond" w:hAnsi="Garamond" w:cs="Times New Roman"/>
          <w:i/>
          <w:iCs/>
          <w:noProof/>
          <w:sz w:val="24"/>
          <w:szCs w:val="24"/>
        </w:rPr>
        <w:t>Gender and Society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32</w:t>
      </w:r>
      <w:r w:rsidRPr="00D30CE2">
        <w:rPr>
          <w:rFonts w:ascii="Garamond" w:hAnsi="Garamond" w:cs="Times New Roman"/>
          <w:noProof/>
          <w:sz w:val="24"/>
          <w:szCs w:val="24"/>
        </w:rPr>
        <w:t>(5), 686–712. https://doi.org/10.1177/0891243218783670</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Graves-Brown, P., Jones, S., and Gamble, C. (eds. . (1996). </w:t>
      </w:r>
      <w:r w:rsidRPr="00D30CE2">
        <w:rPr>
          <w:rFonts w:ascii="Garamond" w:hAnsi="Garamond" w:cs="Times New Roman"/>
          <w:i/>
          <w:iCs/>
          <w:noProof/>
          <w:sz w:val="24"/>
          <w:szCs w:val="24"/>
        </w:rPr>
        <w:t>Cultural Identity and Archaeology: the Construction of European Communities</w:t>
      </w:r>
      <w:r w:rsidRPr="00D30CE2">
        <w:rPr>
          <w:rFonts w:ascii="Garamond" w:hAnsi="Garamond" w:cs="Times New Roman"/>
          <w:noProof/>
          <w:sz w:val="24"/>
          <w:szCs w:val="24"/>
        </w:rPr>
        <w:t>. Routledge.</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Halim, I. P. (2017). Analisis Persepsi Orang Tionghoa Jawa Timur Terhadap Calon Suksesor Perempuan Pada Perusahaan Keluarga. </w:t>
      </w:r>
      <w:r w:rsidRPr="00D30CE2">
        <w:rPr>
          <w:rFonts w:ascii="Garamond" w:hAnsi="Garamond" w:cs="Times New Roman"/>
          <w:i/>
          <w:iCs/>
          <w:noProof/>
          <w:sz w:val="24"/>
          <w:szCs w:val="24"/>
        </w:rPr>
        <w:t>Agora - Online Graduate Humanities Journal</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5</w:t>
      </w:r>
      <w:r w:rsidRPr="00D30CE2">
        <w:rPr>
          <w:rFonts w:ascii="Garamond" w:hAnsi="Garamond" w:cs="Times New Roman"/>
          <w:noProof/>
          <w:sz w:val="24"/>
          <w:szCs w:val="24"/>
        </w:rPr>
        <w:t>(1).</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Hartman, P. L., &amp; Judd, E. L. (1978). Sexism and TESOL Materials. </w:t>
      </w:r>
      <w:r w:rsidRPr="00D30CE2">
        <w:rPr>
          <w:rFonts w:ascii="Garamond" w:hAnsi="Garamond" w:cs="Times New Roman"/>
          <w:i/>
          <w:iCs/>
          <w:noProof/>
          <w:sz w:val="24"/>
          <w:szCs w:val="24"/>
        </w:rPr>
        <w:t>TESOL Quarterly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12</w:t>
      </w:r>
      <w:r w:rsidRPr="00D30CE2">
        <w:rPr>
          <w:rFonts w:ascii="Garamond" w:hAnsi="Garamond" w:cs="Times New Roman"/>
          <w:noProof/>
          <w:sz w:val="24"/>
          <w:szCs w:val="24"/>
        </w:rPr>
        <w:t>(4), 383. https://doi.org/10.2307/3586137</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Hillman, B. (2018). The Limits of Gender Quotas: Women’s Parliamentary Representation in Indonesia. </w:t>
      </w:r>
      <w:r w:rsidRPr="00D30CE2">
        <w:rPr>
          <w:rFonts w:ascii="Garamond" w:hAnsi="Garamond" w:cs="Times New Roman"/>
          <w:i/>
          <w:iCs/>
          <w:noProof/>
          <w:sz w:val="24"/>
          <w:szCs w:val="24"/>
        </w:rPr>
        <w:t>Journal of Contemporary Asia</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48</w:t>
      </w:r>
      <w:r w:rsidRPr="00D30CE2">
        <w:rPr>
          <w:rFonts w:ascii="Garamond" w:hAnsi="Garamond" w:cs="Times New Roman"/>
          <w:noProof/>
          <w:sz w:val="24"/>
          <w:szCs w:val="24"/>
        </w:rPr>
        <w:t>(2), 322–338. https://doi.org/10.1080/00472336.2017.1368092</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Holt-Reynolds, D. (1992). Personal History-Based Beliefs as Relevant Prior Knowledge in Course Work. </w:t>
      </w:r>
      <w:r w:rsidRPr="00D30CE2">
        <w:rPr>
          <w:rFonts w:ascii="Garamond" w:hAnsi="Garamond" w:cs="Times New Roman"/>
          <w:i/>
          <w:iCs/>
          <w:noProof/>
          <w:sz w:val="24"/>
          <w:szCs w:val="24"/>
        </w:rPr>
        <w:t>American Educational Research Journal</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29</w:t>
      </w:r>
      <w:r w:rsidRPr="00D30CE2">
        <w:rPr>
          <w:rFonts w:ascii="Garamond" w:hAnsi="Garamond" w:cs="Times New Roman"/>
          <w:noProof/>
          <w:sz w:val="24"/>
          <w:szCs w:val="24"/>
        </w:rPr>
        <w:t>(2), 325–349. https://doi.org/10.3102/00028312029002325</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Karskens, G., and Lawrence, S. (2003). </w:t>
      </w:r>
      <w:r w:rsidRPr="00D30CE2">
        <w:rPr>
          <w:rFonts w:ascii="Garamond" w:hAnsi="Garamond" w:cs="Times New Roman"/>
          <w:i/>
          <w:iCs/>
          <w:noProof/>
          <w:sz w:val="24"/>
          <w:szCs w:val="24"/>
        </w:rPr>
        <w:t>The archaeology of cities: What is it we want to know? In Murray, T. (ed.), Exploring the Modern City: Recent Approaches to Urban History and Archaeology, Museum of Sydney</w:t>
      </w:r>
      <w:r w:rsidRPr="00D30CE2">
        <w:rPr>
          <w:rFonts w:ascii="Garamond" w:hAnsi="Garamond" w:cs="Times New Roman"/>
          <w:noProof/>
          <w:sz w:val="24"/>
          <w:szCs w:val="24"/>
        </w:rPr>
        <w:t>.</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Klaus Krippendorff. (2004). </w:t>
      </w:r>
      <w:r w:rsidRPr="00D30CE2">
        <w:rPr>
          <w:rFonts w:ascii="Garamond" w:hAnsi="Garamond" w:cs="Times New Roman"/>
          <w:i/>
          <w:iCs/>
          <w:noProof/>
          <w:sz w:val="24"/>
          <w:szCs w:val="24"/>
        </w:rPr>
        <w:t>Content Analysis An Introduction to its Methodology</w:t>
      </w:r>
      <w:r w:rsidRPr="00D30CE2">
        <w:rPr>
          <w:rFonts w:ascii="Garamond" w:hAnsi="Garamond" w:cs="Times New Roman"/>
          <w:noProof/>
          <w:sz w:val="24"/>
          <w:szCs w:val="24"/>
        </w:rPr>
        <w:t>. SAGE Publication Inc.</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Koburtay, T., Syed, J., &amp; Haloub, R. (2020). Implications of Religion, Culture, and Legislation for Gender Equality at Work: Qualitative Insights from Jordan. </w:t>
      </w:r>
      <w:r w:rsidRPr="00D30CE2">
        <w:rPr>
          <w:rFonts w:ascii="Garamond" w:hAnsi="Garamond" w:cs="Times New Roman"/>
          <w:i/>
          <w:iCs/>
          <w:noProof/>
          <w:sz w:val="24"/>
          <w:szCs w:val="24"/>
        </w:rPr>
        <w:t>Journal of Business Ethics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164</w:t>
      </w:r>
      <w:r w:rsidRPr="00D30CE2">
        <w:rPr>
          <w:rFonts w:ascii="Garamond" w:hAnsi="Garamond" w:cs="Times New Roman"/>
          <w:noProof/>
          <w:sz w:val="24"/>
          <w:szCs w:val="24"/>
        </w:rPr>
        <w:t>(3), 421–436. https://doi.org/10.1007/s10551-018-4036-6</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Kohl, P. L., and Fawcett, C. (eds. . (1995). </w:t>
      </w:r>
      <w:r w:rsidRPr="00D30CE2">
        <w:rPr>
          <w:rFonts w:ascii="Garamond" w:hAnsi="Garamond" w:cs="Times New Roman"/>
          <w:i/>
          <w:iCs/>
          <w:noProof/>
          <w:sz w:val="24"/>
          <w:szCs w:val="24"/>
        </w:rPr>
        <w:t>Nationalism, Politics and the Practice of Archaeology</w:t>
      </w:r>
      <w:r w:rsidRPr="00D30CE2">
        <w:rPr>
          <w:rFonts w:ascii="Garamond" w:hAnsi="Garamond" w:cs="Times New Roman"/>
          <w:noProof/>
          <w:sz w:val="24"/>
          <w:szCs w:val="24"/>
        </w:rPr>
        <w:t>. Cambridge University Press.</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Kohl, P. L., Kozelsky, M., and Ben-Yehuda, N. (eds. . (2007). </w:t>
      </w:r>
      <w:r w:rsidRPr="00D30CE2">
        <w:rPr>
          <w:rFonts w:ascii="Garamond" w:hAnsi="Garamond" w:cs="Times New Roman"/>
          <w:i/>
          <w:iCs/>
          <w:noProof/>
          <w:sz w:val="24"/>
          <w:szCs w:val="24"/>
        </w:rPr>
        <w:t>Selective Remembrances: Archaeology in the Construction, Commemoration, and Consecration of National Pasts</w:t>
      </w:r>
      <w:r w:rsidRPr="00D30CE2">
        <w:rPr>
          <w:rFonts w:ascii="Garamond" w:hAnsi="Garamond" w:cs="Times New Roman"/>
          <w:noProof/>
          <w:sz w:val="24"/>
          <w:szCs w:val="24"/>
        </w:rPr>
        <w:t>. Chicago University Press.</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Lorber, J. (1994). </w:t>
      </w:r>
      <w:r w:rsidRPr="00D30CE2">
        <w:rPr>
          <w:rFonts w:ascii="Garamond" w:hAnsi="Garamond" w:cs="Times New Roman"/>
          <w:i/>
          <w:iCs/>
          <w:noProof/>
          <w:sz w:val="24"/>
          <w:szCs w:val="24"/>
        </w:rPr>
        <w:t>The Social Construction of Gender</w:t>
      </w:r>
      <w:r w:rsidRPr="00D30CE2">
        <w:rPr>
          <w:rFonts w:ascii="Garamond" w:hAnsi="Garamond" w:cs="Times New Roman"/>
          <w:noProof/>
          <w:sz w:val="24"/>
          <w:szCs w:val="24"/>
        </w:rPr>
        <w:t>. SAGE Publication Inc.</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lastRenderedPageBreak/>
        <w:t xml:space="preserve">Marković, Z., Sardžoska, E., &amp; Sotiroska, K. (2012). Orientations of the Managers, Culture and Gender: Cross-cultural Study of Supervisor-Subordinate Relationship. </w:t>
      </w:r>
      <w:r w:rsidRPr="00D30CE2">
        <w:rPr>
          <w:rFonts w:ascii="Garamond" w:hAnsi="Garamond" w:cs="Times New Roman"/>
          <w:i/>
          <w:iCs/>
          <w:noProof/>
          <w:sz w:val="24"/>
          <w:szCs w:val="24"/>
        </w:rPr>
        <w:t>International Journal of Applied Psychology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2</w:t>
      </w:r>
      <w:r w:rsidRPr="00D30CE2">
        <w:rPr>
          <w:rFonts w:ascii="Garamond" w:hAnsi="Garamond" w:cs="Times New Roman"/>
          <w:noProof/>
          <w:sz w:val="24"/>
          <w:szCs w:val="24"/>
        </w:rPr>
        <w:t>(5), 104–109. https://doi.org/10.5923/j.ijap.20120205.05</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Martin, J. N., &amp; Nakayama, T. K. (2010). </w:t>
      </w:r>
      <w:r w:rsidRPr="00D30CE2">
        <w:rPr>
          <w:rFonts w:ascii="Garamond" w:hAnsi="Garamond" w:cs="Times New Roman"/>
          <w:i/>
          <w:iCs/>
          <w:noProof/>
          <w:sz w:val="24"/>
          <w:szCs w:val="24"/>
        </w:rPr>
        <w:t>Intercultural communication in contexts (5th ed.).</w:t>
      </w:r>
      <w:r w:rsidRPr="00D30CE2">
        <w:rPr>
          <w:rFonts w:ascii="Garamond" w:hAnsi="Garamond" w:cs="Times New Roman"/>
          <w:noProof/>
          <w:sz w:val="24"/>
          <w:szCs w:val="24"/>
        </w:rPr>
        <w:t xml:space="preserve"> (5th ed.). McGraw-Hill.</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Mason, R. J. (2010). Society for American Archaeology Archaeology and Native North American Oral Traditions. </w:t>
      </w:r>
      <w:r w:rsidRPr="00D30CE2">
        <w:rPr>
          <w:rFonts w:ascii="Garamond" w:hAnsi="Garamond" w:cs="Times New Roman"/>
          <w:i/>
          <w:iCs/>
          <w:noProof/>
          <w:sz w:val="24"/>
          <w:szCs w:val="24"/>
        </w:rPr>
        <w:t>American Antiquity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65</w:t>
      </w:r>
      <w:r w:rsidRPr="00D30CE2">
        <w:rPr>
          <w:rFonts w:ascii="Garamond" w:hAnsi="Garamond" w:cs="Times New Roman"/>
          <w:noProof/>
          <w:sz w:val="24"/>
          <w:szCs w:val="24"/>
        </w:rPr>
        <w:t>(2), 239–266.</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Mathew, V. (2016). Women and family business succession in Asia - Characteristics, challenges and chauvinism. </w:t>
      </w:r>
      <w:r w:rsidRPr="00D30CE2">
        <w:rPr>
          <w:rFonts w:ascii="Garamond" w:hAnsi="Garamond" w:cs="Times New Roman"/>
          <w:i/>
          <w:iCs/>
          <w:noProof/>
          <w:sz w:val="24"/>
          <w:szCs w:val="24"/>
        </w:rPr>
        <w:t>International Journal of Entrepreneurship and Small Business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27</w:t>
      </w:r>
      <w:r w:rsidRPr="00D30CE2">
        <w:rPr>
          <w:rFonts w:ascii="Garamond" w:hAnsi="Garamond" w:cs="Times New Roman"/>
          <w:noProof/>
          <w:sz w:val="24"/>
          <w:szCs w:val="24"/>
        </w:rPr>
        <w:t>(2–3), 410–424. https://doi.org/10.1504/IJESB.2016.073972</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Meskell, L. (ed. . (1998). </w:t>
      </w:r>
      <w:r w:rsidRPr="00D30CE2">
        <w:rPr>
          <w:rFonts w:ascii="Garamond" w:hAnsi="Garamond" w:cs="Times New Roman"/>
          <w:i/>
          <w:iCs/>
          <w:noProof/>
          <w:sz w:val="24"/>
          <w:szCs w:val="24"/>
        </w:rPr>
        <w:t>Archaeology under Fire: Nationalism, Politics and Heritage in the Eastern Mediterranean and Middle East</w:t>
      </w:r>
      <w:r w:rsidRPr="00D30CE2">
        <w:rPr>
          <w:rFonts w:ascii="Garamond" w:hAnsi="Garamond" w:cs="Times New Roman"/>
          <w:noProof/>
          <w:sz w:val="24"/>
          <w:szCs w:val="24"/>
        </w:rPr>
        <w:t>. Routledge.</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Mufidah, C. (2017). Complexities in dealing with gender inequality: Muslim women and mosque-based social services in East Java Indonesia. </w:t>
      </w:r>
      <w:r w:rsidRPr="00D30CE2">
        <w:rPr>
          <w:rFonts w:ascii="Garamond" w:hAnsi="Garamond" w:cs="Times New Roman"/>
          <w:i/>
          <w:iCs/>
          <w:noProof/>
          <w:sz w:val="24"/>
          <w:szCs w:val="24"/>
        </w:rPr>
        <w:t>Journal of Indonesian Islam</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11</w:t>
      </w:r>
      <w:r w:rsidRPr="00D30CE2">
        <w:rPr>
          <w:rFonts w:ascii="Garamond" w:hAnsi="Garamond" w:cs="Times New Roman"/>
          <w:noProof/>
          <w:sz w:val="24"/>
          <w:szCs w:val="24"/>
        </w:rPr>
        <w:t>(2), 459–488. https://doi.org/10.15642/JIIS.2017.11.2.459-488</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Quader, S. A. R., &amp; Oplatka, I. (2008). The power of femininity: Exploring the gender and ethnic experiences of Muslim women who accessed supervisory roles in a Bedouin society. </w:t>
      </w:r>
      <w:r w:rsidRPr="00D30CE2">
        <w:rPr>
          <w:rFonts w:ascii="Garamond" w:hAnsi="Garamond" w:cs="Times New Roman"/>
          <w:i/>
          <w:iCs/>
          <w:noProof/>
          <w:sz w:val="24"/>
          <w:szCs w:val="24"/>
        </w:rPr>
        <w:t>Journal of Educational Administration</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46</w:t>
      </w:r>
      <w:r w:rsidRPr="00D30CE2">
        <w:rPr>
          <w:rFonts w:ascii="Garamond" w:hAnsi="Garamond" w:cs="Times New Roman"/>
          <w:noProof/>
          <w:sz w:val="24"/>
          <w:szCs w:val="24"/>
        </w:rPr>
        <w:t>(3), 396–415. https://doi.org/10.1108/09578230810869301</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Rees, T. (1998). </w:t>
      </w:r>
      <w:r w:rsidRPr="00D30CE2">
        <w:rPr>
          <w:rFonts w:ascii="Garamond" w:hAnsi="Garamond" w:cs="Times New Roman"/>
          <w:i/>
          <w:iCs/>
          <w:noProof/>
          <w:sz w:val="24"/>
          <w:szCs w:val="24"/>
        </w:rPr>
        <w:t>Mainstreaming Equality in the European Union: Education, Training and Labour Market Policiese</w:t>
      </w:r>
      <w:r w:rsidRPr="00D30CE2">
        <w:rPr>
          <w:rFonts w:ascii="Garamond" w:hAnsi="Garamond" w:cs="Times New Roman"/>
          <w:noProof/>
          <w:sz w:val="24"/>
          <w:szCs w:val="24"/>
        </w:rPr>
        <w:t>. Routledge.</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Riyanto, A., Ohoitimur, J., Mulyatno, C. B., &amp; Madung, O. G. (2015). </w:t>
      </w:r>
      <w:r w:rsidRPr="00D30CE2">
        <w:rPr>
          <w:rFonts w:ascii="Garamond" w:hAnsi="Garamond" w:cs="Times New Roman"/>
          <w:i/>
          <w:iCs/>
          <w:noProof/>
          <w:sz w:val="24"/>
          <w:szCs w:val="24"/>
        </w:rPr>
        <w:t>Kearifan Lokal Pancasila Butir-butir Filsafat Keindonesiaan.</w:t>
      </w:r>
      <w:r w:rsidRPr="00D30CE2">
        <w:rPr>
          <w:rFonts w:ascii="Garamond" w:hAnsi="Garamond" w:cs="Times New Roman"/>
          <w:noProof/>
          <w:sz w:val="24"/>
          <w:szCs w:val="24"/>
        </w:rPr>
        <w:t xml:space="preserve"> Kanisius.</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Samovar, L. A., Porter, R. E., McDaniel, E. R., &amp; Roy, C. S. (2013). </w:t>
      </w:r>
      <w:r w:rsidRPr="00D30CE2">
        <w:rPr>
          <w:rFonts w:ascii="Garamond" w:hAnsi="Garamond" w:cs="Times New Roman"/>
          <w:i/>
          <w:iCs/>
          <w:noProof/>
          <w:sz w:val="24"/>
          <w:szCs w:val="24"/>
        </w:rPr>
        <w:t>Communication between cultures.</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Schmidt, P. R. (2006). </w:t>
      </w:r>
      <w:r w:rsidRPr="00D30CE2">
        <w:rPr>
          <w:rFonts w:ascii="Garamond" w:hAnsi="Garamond" w:cs="Times New Roman"/>
          <w:i/>
          <w:iCs/>
          <w:noProof/>
          <w:sz w:val="24"/>
          <w:szCs w:val="24"/>
        </w:rPr>
        <w:t>Historical Archaeology in Africa: Representation, Social Memory, and Oral Traditions</w:t>
      </w:r>
      <w:r w:rsidRPr="00D30CE2">
        <w:rPr>
          <w:rFonts w:ascii="Garamond" w:hAnsi="Garamond" w:cs="Times New Roman"/>
          <w:noProof/>
          <w:sz w:val="24"/>
          <w:szCs w:val="24"/>
        </w:rPr>
        <w:t>. AltaMira.</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Schuh, S. C., Hernandez Bark, A. S., Van Quaquebeke, N., Hossiep, R., Frieg, P., &amp; Van Dick, R. (2014). Gender Differences in Leadership Role Occupancy: The Mediating Role of Power Motivation. </w:t>
      </w:r>
      <w:r w:rsidRPr="00D30CE2">
        <w:rPr>
          <w:rFonts w:ascii="Garamond" w:hAnsi="Garamond" w:cs="Times New Roman"/>
          <w:i/>
          <w:iCs/>
          <w:noProof/>
          <w:sz w:val="24"/>
          <w:szCs w:val="24"/>
        </w:rPr>
        <w:t>Journal of Business Ethics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120</w:t>
      </w:r>
      <w:r w:rsidRPr="00D30CE2">
        <w:rPr>
          <w:rFonts w:ascii="Garamond" w:hAnsi="Garamond" w:cs="Times New Roman"/>
          <w:noProof/>
          <w:sz w:val="24"/>
          <w:szCs w:val="24"/>
        </w:rPr>
        <w:t>(3), 363–379. https://doi.org/10.1007/s10551-013-1663-9</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Schuyler, R. L. (1977). </w:t>
      </w:r>
      <w:r w:rsidRPr="00D30CE2">
        <w:rPr>
          <w:rFonts w:ascii="Garamond" w:hAnsi="Garamond" w:cs="Times New Roman"/>
          <w:i/>
          <w:iCs/>
          <w:noProof/>
          <w:sz w:val="24"/>
          <w:szCs w:val="24"/>
        </w:rPr>
        <w:t>The spoken word, the written word, observed behavior and preserved behavior: The contexts available to the archaeologist. The Conference on Historic Site Archaeology Papers</w:t>
      </w:r>
      <w:r w:rsidRPr="00D30CE2">
        <w:rPr>
          <w:rFonts w:ascii="Garamond" w:hAnsi="Garamond" w:cs="Times New Roman"/>
          <w:noProof/>
          <w:sz w:val="24"/>
          <w:szCs w:val="24"/>
        </w:rPr>
        <w:t>.</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Sika, N. (2011). The Millennium Development Goals: Prospects for gender equality in the Arab world. </w:t>
      </w:r>
      <w:r w:rsidRPr="00D30CE2">
        <w:rPr>
          <w:rFonts w:ascii="Garamond" w:hAnsi="Garamond" w:cs="Times New Roman"/>
          <w:i/>
          <w:iCs/>
          <w:noProof/>
          <w:sz w:val="24"/>
          <w:szCs w:val="24"/>
        </w:rPr>
        <w:t>Journal of International Women’s Studies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12</w:t>
      </w:r>
      <w:r w:rsidRPr="00D30CE2">
        <w:rPr>
          <w:rFonts w:ascii="Garamond" w:hAnsi="Garamond" w:cs="Times New Roman"/>
          <w:noProof/>
          <w:sz w:val="24"/>
          <w:szCs w:val="24"/>
        </w:rPr>
        <w:t>(3), 27–42.</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Smith, J. C., &amp; Weisstub, D. N. (2016). The unconscious, myth, and the rule of law: Reflections on the persistence of gender inequality. </w:t>
      </w:r>
      <w:r w:rsidRPr="00D30CE2">
        <w:rPr>
          <w:rFonts w:ascii="Garamond" w:hAnsi="Garamond" w:cs="Times New Roman"/>
          <w:i/>
          <w:iCs/>
          <w:noProof/>
          <w:sz w:val="24"/>
          <w:szCs w:val="24"/>
        </w:rPr>
        <w:t>International Journal of Law and Psychiatry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48</w:t>
      </w:r>
      <w:r w:rsidRPr="00D30CE2">
        <w:rPr>
          <w:rFonts w:ascii="Garamond" w:hAnsi="Garamond" w:cs="Times New Roman"/>
          <w:noProof/>
          <w:sz w:val="24"/>
          <w:szCs w:val="24"/>
        </w:rPr>
        <w:t>, 62–76. https://doi.org/10.1016/j.ijlp.2016.06.009</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lastRenderedPageBreak/>
        <w:t xml:space="preserve">Sunderland, J. (2006). </w:t>
      </w:r>
      <w:r w:rsidRPr="00D30CE2">
        <w:rPr>
          <w:rFonts w:ascii="Garamond" w:hAnsi="Garamond" w:cs="Times New Roman"/>
          <w:i/>
          <w:iCs/>
          <w:noProof/>
          <w:sz w:val="24"/>
          <w:szCs w:val="24"/>
        </w:rPr>
        <w:t>Language and Gender: an Advanced Resource Book</w:t>
      </w:r>
      <w:r w:rsidRPr="00D30CE2">
        <w:rPr>
          <w:rFonts w:ascii="Garamond" w:hAnsi="Garamond" w:cs="Times New Roman"/>
          <w:noProof/>
          <w:sz w:val="24"/>
          <w:szCs w:val="24"/>
        </w:rPr>
        <w:t>. Routledge.</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Tariq, M., &amp; Syed, J. (2017). Intersectionality at Work: South Asian Muslim Women’s Experiences of Employment and Leadership in the United Kingdom. </w:t>
      </w:r>
      <w:r w:rsidRPr="00D30CE2">
        <w:rPr>
          <w:rFonts w:ascii="Garamond" w:hAnsi="Garamond" w:cs="Times New Roman"/>
          <w:i/>
          <w:iCs/>
          <w:noProof/>
          <w:sz w:val="24"/>
          <w:szCs w:val="24"/>
        </w:rPr>
        <w:t>Sex Roles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77</w:t>
      </w:r>
      <w:r w:rsidRPr="00D30CE2">
        <w:rPr>
          <w:rFonts w:ascii="Garamond" w:hAnsi="Garamond" w:cs="Times New Roman"/>
          <w:noProof/>
          <w:sz w:val="24"/>
          <w:szCs w:val="24"/>
        </w:rPr>
        <w:t>(7–8), 510–522. https://doi.org/10.1007/s11199-017-0741-3</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Toh, S. M., &amp; Leonardelli, G. J. (2012). Cultural constraints on the emergence of women as leaders. </w:t>
      </w:r>
      <w:r w:rsidRPr="00D30CE2">
        <w:rPr>
          <w:rFonts w:ascii="Garamond" w:hAnsi="Garamond" w:cs="Times New Roman"/>
          <w:i/>
          <w:iCs/>
          <w:noProof/>
          <w:sz w:val="24"/>
          <w:szCs w:val="24"/>
        </w:rPr>
        <w:t>Journal of World Business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47</w:t>
      </w:r>
      <w:r w:rsidRPr="00D30CE2">
        <w:rPr>
          <w:rFonts w:ascii="Garamond" w:hAnsi="Garamond" w:cs="Times New Roman"/>
          <w:noProof/>
          <w:sz w:val="24"/>
          <w:szCs w:val="24"/>
        </w:rPr>
        <w:t>(4), 604–611. https://doi.org/10.1016/j.jwb.2012.01.013</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Vial, A. C., Napier, J. L., &amp; Brescoll, V. L. (2016). A bed of thorns: Female leaders and the self-reinforcing cycle of illegitimacy. </w:t>
      </w:r>
      <w:r w:rsidRPr="00D30CE2">
        <w:rPr>
          <w:rFonts w:ascii="Garamond" w:hAnsi="Garamond" w:cs="Times New Roman"/>
          <w:i/>
          <w:iCs/>
          <w:noProof/>
          <w:sz w:val="24"/>
          <w:szCs w:val="24"/>
        </w:rPr>
        <w:t>Leadership Quarterly</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27</w:t>
      </w:r>
      <w:r w:rsidRPr="00D30CE2">
        <w:rPr>
          <w:rFonts w:ascii="Garamond" w:hAnsi="Garamond" w:cs="Times New Roman"/>
          <w:noProof/>
          <w:sz w:val="24"/>
          <w:szCs w:val="24"/>
        </w:rPr>
        <w:t>(3), 400–414. https://doi.org/10.1016/j.leaqua.2015.12.004</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Walby, S. (2001). </w:t>
      </w:r>
      <w:r w:rsidRPr="00D30CE2">
        <w:rPr>
          <w:rFonts w:ascii="Garamond" w:hAnsi="Garamond" w:cs="Times New Roman"/>
          <w:i/>
          <w:iCs/>
          <w:noProof/>
          <w:sz w:val="24"/>
          <w:szCs w:val="24"/>
        </w:rPr>
        <w:t>Gender Mainstreaming in the European Employment Strategy</w:t>
      </w:r>
      <w:r w:rsidRPr="00D30CE2">
        <w:rPr>
          <w:rFonts w:ascii="Garamond" w:hAnsi="Garamond" w:cs="Times New Roman"/>
          <w:noProof/>
          <w:sz w:val="24"/>
          <w:szCs w:val="24"/>
        </w:rPr>
        <w:t>.</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Wienanda, W. K. (2012). </w:t>
      </w:r>
      <w:r w:rsidR="003A4850" w:rsidRPr="00D30CE2">
        <w:rPr>
          <w:rFonts w:ascii="Garamond" w:hAnsi="Garamond" w:cs="Times New Roman"/>
          <w:i/>
          <w:iCs/>
          <w:noProof/>
          <w:sz w:val="24"/>
          <w:szCs w:val="24"/>
        </w:rPr>
        <w:t>An Analysis Of Vii Grade English Coursebook Entitled English On Sky 1 In Terms Of Gender Balance Of The Materials</w:t>
      </w:r>
      <w:r w:rsidRPr="00D30CE2">
        <w:rPr>
          <w:rFonts w:ascii="Garamond" w:hAnsi="Garamond" w:cs="Times New Roman"/>
          <w:noProof/>
          <w:sz w:val="24"/>
          <w:szCs w:val="24"/>
        </w:rPr>
        <w:t>. Universitas Negeri Malang.</w:t>
      </w:r>
      <w:bookmarkStart w:id="0" w:name="_GoBack"/>
      <w:bookmarkEnd w:id="0"/>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Witjatmoko, N. (2016). </w:t>
      </w:r>
      <w:r w:rsidRPr="00D30CE2">
        <w:rPr>
          <w:rFonts w:ascii="Garamond" w:hAnsi="Garamond" w:cs="Times New Roman"/>
          <w:i/>
          <w:iCs/>
          <w:noProof/>
          <w:sz w:val="24"/>
          <w:szCs w:val="24"/>
        </w:rPr>
        <w:t>Gender Representation in Two EFL Textbooks Used in Grade VII of Junior High School</w:t>
      </w:r>
      <w:r w:rsidRPr="00D30CE2">
        <w:rPr>
          <w:rFonts w:ascii="Garamond" w:hAnsi="Garamond" w:cs="Times New Roman"/>
          <w:noProof/>
          <w:sz w:val="24"/>
          <w:szCs w:val="24"/>
        </w:rPr>
        <w:t>. Universitas Negeri Malang.</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Woodward, A. (2003). European Gender Mainstreaming: Promises and Pitfalls of Transformative Policy1. </w:t>
      </w:r>
      <w:r w:rsidRPr="00D30CE2">
        <w:rPr>
          <w:rFonts w:ascii="Garamond" w:hAnsi="Garamond" w:cs="Times New Roman"/>
          <w:i/>
          <w:iCs/>
          <w:noProof/>
          <w:sz w:val="24"/>
          <w:szCs w:val="24"/>
        </w:rPr>
        <w:t>Review of Policy Research</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20</w:t>
      </w:r>
      <w:r w:rsidRPr="00D30CE2">
        <w:rPr>
          <w:rFonts w:ascii="Garamond" w:hAnsi="Garamond" w:cs="Times New Roman"/>
          <w:noProof/>
          <w:sz w:val="24"/>
          <w:szCs w:val="24"/>
        </w:rPr>
        <w:t>(1), 65–88. https://doi.org/10.1111/1541-1338.00005</w:t>
      </w:r>
    </w:p>
    <w:p w:rsidR="00D30CE2" w:rsidRPr="00D30CE2" w:rsidRDefault="00D30CE2" w:rsidP="00D30CE2">
      <w:pPr>
        <w:widowControl w:val="0"/>
        <w:autoSpaceDE w:val="0"/>
        <w:autoSpaceDN w:val="0"/>
        <w:adjustRightInd w:val="0"/>
        <w:spacing w:line="240" w:lineRule="auto"/>
        <w:ind w:left="480" w:hanging="480"/>
        <w:rPr>
          <w:rFonts w:ascii="Garamond" w:hAnsi="Garamond" w:cs="Times New Roman"/>
          <w:noProof/>
          <w:sz w:val="24"/>
          <w:szCs w:val="24"/>
        </w:rPr>
      </w:pPr>
      <w:r w:rsidRPr="00D30CE2">
        <w:rPr>
          <w:rFonts w:ascii="Garamond" w:hAnsi="Garamond" w:cs="Times New Roman"/>
          <w:noProof/>
          <w:sz w:val="24"/>
          <w:szCs w:val="24"/>
        </w:rPr>
        <w:t xml:space="preserve">Yustesia, A. (2018). </w:t>
      </w:r>
      <w:r w:rsidRPr="00D30CE2">
        <w:rPr>
          <w:rFonts w:ascii="Garamond" w:hAnsi="Garamond" w:cs="Times New Roman"/>
          <w:i/>
          <w:iCs/>
          <w:noProof/>
          <w:sz w:val="24"/>
          <w:szCs w:val="24"/>
        </w:rPr>
        <w:t>Concept of Local Wisdom " Barifola " and Implementation of Education Century 21</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May 2017</w:t>
      </w:r>
      <w:r w:rsidRPr="00D30CE2">
        <w:rPr>
          <w:rFonts w:ascii="Garamond" w:hAnsi="Garamond" w:cs="Times New Roman"/>
          <w:noProof/>
          <w:sz w:val="24"/>
          <w:szCs w:val="24"/>
        </w:rPr>
        <w:t>.</w:t>
      </w:r>
    </w:p>
    <w:p w:rsidR="00D30CE2" w:rsidRPr="00D30CE2" w:rsidRDefault="00D30CE2" w:rsidP="00D30CE2">
      <w:pPr>
        <w:widowControl w:val="0"/>
        <w:autoSpaceDE w:val="0"/>
        <w:autoSpaceDN w:val="0"/>
        <w:adjustRightInd w:val="0"/>
        <w:spacing w:line="240" w:lineRule="auto"/>
        <w:ind w:left="480" w:hanging="480"/>
        <w:rPr>
          <w:rFonts w:ascii="Garamond" w:hAnsi="Garamond"/>
          <w:noProof/>
          <w:sz w:val="24"/>
        </w:rPr>
      </w:pPr>
      <w:r w:rsidRPr="00D30CE2">
        <w:rPr>
          <w:rFonts w:ascii="Garamond" w:hAnsi="Garamond" w:cs="Times New Roman"/>
          <w:noProof/>
          <w:sz w:val="24"/>
          <w:szCs w:val="24"/>
        </w:rPr>
        <w:t xml:space="preserve">Zeng, B. (2014). Women’s political participation in China: Improved or not? </w:t>
      </w:r>
      <w:r w:rsidRPr="00D30CE2">
        <w:rPr>
          <w:rFonts w:ascii="Garamond" w:hAnsi="Garamond" w:cs="Times New Roman"/>
          <w:i/>
          <w:iCs/>
          <w:noProof/>
          <w:sz w:val="24"/>
          <w:szCs w:val="24"/>
        </w:rPr>
        <w:t>Journal of International Women’s Studies</w:t>
      </w:r>
      <w:r w:rsidRPr="00D30CE2">
        <w:rPr>
          <w:rFonts w:ascii="Garamond" w:hAnsi="Garamond" w:cs="Times New Roman"/>
          <w:noProof/>
          <w:sz w:val="24"/>
          <w:szCs w:val="24"/>
        </w:rPr>
        <w:t xml:space="preserve">, </w:t>
      </w:r>
      <w:r w:rsidRPr="00D30CE2">
        <w:rPr>
          <w:rFonts w:ascii="Garamond" w:hAnsi="Garamond" w:cs="Times New Roman"/>
          <w:i/>
          <w:iCs/>
          <w:noProof/>
          <w:sz w:val="24"/>
          <w:szCs w:val="24"/>
        </w:rPr>
        <w:t>15</w:t>
      </w:r>
      <w:r w:rsidRPr="00D30CE2">
        <w:rPr>
          <w:rFonts w:ascii="Garamond" w:hAnsi="Garamond" w:cs="Times New Roman"/>
          <w:noProof/>
          <w:sz w:val="24"/>
          <w:szCs w:val="24"/>
        </w:rPr>
        <w:t>(1), 136–150.</w:t>
      </w:r>
    </w:p>
    <w:p w:rsidR="00CE2627" w:rsidRPr="004E5D63" w:rsidRDefault="00C02436" w:rsidP="00D30CE2">
      <w:pPr>
        <w:widowControl w:val="0"/>
        <w:autoSpaceDE w:val="0"/>
        <w:autoSpaceDN w:val="0"/>
        <w:adjustRightInd w:val="0"/>
        <w:spacing w:line="240" w:lineRule="auto"/>
        <w:ind w:left="480" w:hanging="480"/>
        <w:rPr>
          <w:rFonts w:ascii="Garamond" w:hAnsi="Garamond" w:cs="Times New Roman"/>
          <w:b/>
          <w:sz w:val="24"/>
          <w:szCs w:val="24"/>
        </w:rPr>
      </w:pPr>
      <w:r w:rsidRPr="004E5D63">
        <w:rPr>
          <w:rFonts w:ascii="Garamond" w:hAnsi="Garamond" w:cs="Times New Roman"/>
          <w:b/>
          <w:sz w:val="24"/>
          <w:szCs w:val="24"/>
        </w:rPr>
        <w:fldChar w:fldCharType="end"/>
      </w:r>
    </w:p>
    <w:sectPr w:rsidR="00CE2627" w:rsidRPr="004E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OT1ef757c0+20">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5BF"/>
    <w:multiLevelType w:val="hybridMultilevel"/>
    <w:tmpl w:val="4574C83E"/>
    <w:lvl w:ilvl="0" w:tplc="59A44E6E">
      <w:start w:val="1"/>
      <w:numFmt w:val="upperRoman"/>
      <w:lvlText w:val="%1."/>
      <w:lvlJc w:val="left"/>
      <w:pPr>
        <w:ind w:left="1080" w:hanging="720"/>
      </w:pPr>
      <w:rPr>
        <w:rFonts w:hint="default"/>
        <w:color w:val="000000"/>
      </w:rPr>
    </w:lvl>
    <w:lvl w:ilvl="1" w:tplc="209C7266" w:tentative="1">
      <w:start w:val="1"/>
      <w:numFmt w:val="lowerLetter"/>
      <w:lvlText w:val="%2."/>
      <w:lvlJc w:val="left"/>
      <w:pPr>
        <w:ind w:left="1440" w:hanging="360"/>
      </w:pPr>
    </w:lvl>
    <w:lvl w:ilvl="2" w:tplc="2800168C" w:tentative="1">
      <w:start w:val="1"/>
      <w:numFmt w:val="lowerRoman"/>
      <w:lvlText w:val="%3."/>
      <w:lvlJc w:val="right"/>
      <w:pPr>
        <w:ind w:left="2160" w:hanging="180"/>
      </w:pPr>
    </w:lvl>
    <w:lvl w:ilvl="3" w:tplc="36026A92" w:tentative="1">
      <w:start w:val="1"/>
      <w:numFmt w:val="decimal"/>
      <w:lvlText w:val="%4."/>
      <w:lvlJc w:val="left"/>
      <w:pPr>
        <w:ind w:left="2880" w:hanging="360"/>
      </w:pPr>
    </w:lvl>
    <w:lvl w:ilvl="4" w:tplc="F796BD8E" w:tentative="1">
      <w:start w:val="1"/>
      <w:numFmt w:val="lowerLetter"/>
      <w:lvlText w:val="%5."/>
      <w:lvlJc w:val="left"/>
      <w:pPr>
        <w:ind w:left="3600" w:hanging="360"/>
      </w:pPr>
    </w:lvl>
    <w:lvl w:ilvl="5" w:tplc="7A0CB9CC" w:tentative="1">
      <w:start w:val="1"/>
      <w:numFmt w:val="lowerRoman"/>
      <w:lvlText w:val="%6."/>
      <w:lvlJc w:val="right"/>
      <w:pPr>
        <w:ind w:left="4320" w:hanging="180"/>
      </w:pPr>
    </w:lvl>
    <w:lvl w:ilvl="6" w:tplc="6D749716" w:tentative="1">
      <w:start w:val="1"/>
      <w:numFmt w:val="decimal"/>
      <w:lvlText w:val="%7."/>
      <w:lvlJc w:val="left"/>
      <w:pPr>
        <w:ind w:left="5040" w:hanging="360"/>
      </w:pPr>
    </w:lvl>
    <w:lvl w:ilvl="7" w:tplc="B8ECD32E" w:tentative="1">
      <w:start w:val="1"/>
      <w:numFmt w:val="lowerLetter"/>
      <w:lvlText w:val="%8."/>
      <w:lvlJc w:val="left"/>
      <w:pPr>
        <w:ind w:left="5760" w:hanging="360"/>
      </w:pPr>
    </w:lvl>
    <w:lvl w:ilvl="8" w:tplc="09DC7E9C" w:tentative="1">
      <w:start w:val="1"/>
      <w:numFmt w:val="lowerRoman"/>
      <w:lvlText w:val="%9."/>
      <w:lvlJc w:val="right"/>
      <w:pPr>
        <w:ind w:left="6480" w:hanging="180"/>
      </w:pPr>
    </w:lvl>
  </w:abstractNum>
  <w:abstractNum w:abstractNumId="1">
    <w:nsid w:val="4BE72F3D"/>
    <w:multiLevelType w:val="multilevel"/>
    <w:tmpl w:val="FE4A22E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B455E73"/>
    <w:multiLevelType w:val="hybridMultilevel"/>
    <w:tmpl w:val="FE769E54"/>
    <w:lvl w:ilvl="0" w:tplc="5B30DCE0">
      <w:start w:val="1"/>
      <w:numFmt w:val="decimal"/>
      <w:lvlText w:val="%1)"/>
      <w:lvlJc w:val="left"/>
      <w:pPr>
        <w:ind w:left="720" w:hanging="360"/>
      </w:pPr>
      <w:rPr>
        <w:rFonts w:eastAsia="Times New Roman" w:hint="default"/>
        <w:color w:val="222222"/>
      </w:rPr>
    </w:lvl>
    <w:lvl w:ilvl="1" w:tplc="08C25774" w:tentative="1">
      <w:start w:val="1"/>
      <w:numFmt w:val="lowerLetter"/>
      <w:lvlText w:val="%2."/>
      <w:lvlJc w:val="left"/>
      <w:pPr>
        <w:ind w:left="1440" w:hanging="360"/>
      </w:pPr>
    </w:lvl>
    <w:lvl w:ilvl="2" w:tplc="5B6C9380" w:tentative="1">
      <w:start w:val="1"/>
      <w:numFmt w:val="lowerRoman"/>
      <w:lvlText w:val="%3."/>
      <w:lvlJc w:val="right"/>
      <w:pPr>
        <w:ind w:left="2160" w:hanging="180"/>
      </w:pPr>
    </w:lvl>
    <w:lvl w:ilvl="3" w:tplc="17C435AA" w:tentative="1">
      <w:start w:val="1"/>
      <w:numFmt w:val="decimal"/>
      <w:lvlText w:val="%4."/>
      <w:lvlJc w:val="left"/>
      <w:pPr>
        <w:ind w:left="2880" w:hanging="360"/>
      </w:pPr>
    </w:lvl>
    <w:lvl w:ilvl="4" w:tplc="39AE1844" w:tentative="1">
      <w:start w:val="1"/>
      <w:numFmt w:val="lowerLetter"/>
      <w:lvlText w:val="%5."/>
      <w:lvlJc w:val="left"/>
      <w:pPr>
        <w:ind w:left="3600" w:hanging="360"/>
      </w:pPr>
    </w:lvl>
    <w:lvl w:ilvl="5" w:tplc="3D9E3F62" w:tentative="1">
      <w:start w:val="1"/>
      <w:numFmt w:val="lowerRoman"/>
      <w:lvlText w:val="%6."/>
      <w:lvlJc w:val="right"/>
      <w:pPr>
        <w:ind w:left="4320" w:hanging="180"/>
      </w:pPr>
    </w:lvl>
    <w:lvl w:ilvl="6" w:tplc="DD3CC91C" w:tentative="1">
      <w:start w:val="1"/>
      <w:numFmt w:val="decimal"/>
      <w:lvlText w:val="%7."/>
      <w:lvlJc w:val="left"/>
      <w:pPr>
        <w:ind w:left="5040" w:hanging="360"/>
      </w:pPr>
    </w:lvl>
    <w:lvl w:ilvl="7" w:tplc="AF12CC16" w:tentative="1">
      <w:start w:val="1"/>
      <w:numFmt w:val="lowerLetter"/>
      <w:lvlText w:val="%8."/>
      <w:lvlJc w:val="left"/>
      <w:pPr>
        <w:ind w:left="5760" w:hanging="360"/>
      </w:pPr>
    </w:lvl>
    <w:lvl w:ilvl="8" w:tplc="E88CEB32"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MjI2NzQ3MrY0MTRU0lEKTi0uzszPAykwrAUASZ1xdCwAAAA="/>
  </w:docVars>
  <w:rsids>
    <w:rsidRoot w:val="00CC21E3"/>
    <w:rsid w:val="000361BC"/>
    <w:rsid w:val="0004660F"/>
    <w:rsid w:val="000523F2"/>
    <w:rsid w:val="00064C5C"/>
    <w:rsid w:val="00072767"/>
    <w:rsid w:val="000817E4"/>
    <w:rsid w:val="000B4A71"/>
    <w:rsid w:val="000B603D"/>
    <w:rsid w:val="000C5768"/>
    <w:rsid w:val="000D2573"/>
    <w:rsid w:val="001157B3"/>
    <w:rsid w:val="00140F16"/>
    <w:rsid w:val="00162D18"/>
    <w:rsid w:val="00171F6E"/>
    <w:rsid w:val="001932BE"/>
    <w:rsid w:val="0019548B"/>
    <w:rsid w:val="001B4C3E"/>
    <w:rsid w:val="001E1C69"/>
    <w:rsid w:val="001E2118"/>
    <w:rsid w:val="001E38DC"/>
    <w:rsid w:val="00200BFC"/>
    <w:rsid w:val="00202252"/>
    <w:rsid w:val="002239EA"/>
    <w:rsid w:val="00233399"/>
    <w:rsid w:val="002472B4"/>
    <w:rsid w:val="00265BE8"/>
    <w:rsid w:val="00276268"/>
    <w:rsid w:val="00281B59"/>
    <w:rsid w:val="002924D0"/>
    <w:rsid w:val="002926AD"/>
    <w:rsid w:val="002A2D08"/>
    <w:rsid w:val="002A3D71"/>
    <w:rsid w:val="002A417B"/>
    <w:rsid w:val="002E1615"/>
    <w:rsid w:val="002E4D6F"/>
    <w:rsid w:val="002E7417"/>
    <w:rsid w:val="002E7CA4"/>
    <w:rsid w:val="002F0104"/>
    <w:rsid w:val="0031538C"/>
    <w:rsid w:val="00330ECE"/>
    <w:rsid w:val="00344B33"/>
    <w:rsid w:val="0036454D"/>
    <w:rsid w:val="00375FD9"/>
    <w:rsid w:val="003772C7"/>
    <w:rsid w:val="00386294"/>
    <w:rsid w:val="00397ED6"/>
    <w:rsid w:val="003A14D2"/>
    <w:rsid w:val="003A4850"/>
    <w:rsid w:val="003B0073"/>
    <w:rsid w:val="003B1222"/>
    <w:rsid w:val="003C1C7E"/>
    <w:rsid w:val="003D253F"/>
    <w:rsid w:val="003D3419"/>
    <w:rsid w:val="004178B5"/>
    <w:rsid w:val="004375F4"/>
    <w:rsid w:val="0044126C"/>
    <w:rsid w:val="00452926"/>
    <w:rsid w:val="00452E7A"/>
    <w:rsid w:val="004725C0"/>
    <w:rsid w:val="00474544"/>
    <w:rsid w:val="00475155"/>
    <w:rsid w:val="00490AB4"/>
    <w:rsid w:val="00491039"/>
    <w:rsid w:val="0049675F"/>
    <w:rsid w:val="004B00A8"/>
    <w:rsid w:val="004D78B4"/>
    <w:rsid w:val="004E5D63"/>
    <w:rsid w:val="004F26B2"/>
    <w:rsid w:val="004F4E28"/>
    <w:rsid w:val="00507B75"/>
    <w:rsid w:val="00511CE3"/>
    <w:rsid w:val="0051208D"/>
    <w:rsid w:val="00513CB7"/>
    <w:rsid w:val="005159A1"/>
    <w:rsid w:val="00530023"/>
    <w:rsid w:val="0057331A"/>
    <w:rsid w:val="00592B27"/>
    <w:rsid w:val="00597E73"/>
    <w:rsid w:val="005F44DF"/>
    <w:rsid w:val="00600117"/>
    <w:rsid w:val="0061493D"/>
    <w:rsid w:val="00616702"/>
    <w:rsid w:val="006214FF"/>
    <w:rsid w:val="006506C2"/>
    <w:rsid w:val="0066343E"/>
    <w:rsid w:val="00665BB3"/>
    <w:rsid w:val="00672181"/>
    <w:rsid w:val="00672987"/>
    <w:rsid w:val="00684979"/>
    <w:rsid w:val="006907C1"/>
    <w:rsid w:val="006A5A8D"/>
    <w:rsid w:val="006E5586"/>
    <w:rsid w:val="006E7FA7"/>
    <w:rsid w:val="007018A6"/>
    <w:rsid w:val="0073550F"/>
    <w:rsid w:val="0075365F"/>
    <w:rsid w:val="00770B61"/>
    <w:rsid w:val="007958E1"/>
    <w:rsid w:val="00797177"/>
    <w:rsid w:val="007B02D1"/>
    <w:rsid w:val="007C03F0"/>
    <w:rsid w:val="007C4288"/>
    <w:rsid w:val="007E26BD"/>
    <w:rsid w:val="00806362"/>
    <w:rsid w:val="00824463"/>
    <w:rsid w:val="008517AE"/>
    <w:rsid w:val="00856BF0"/>
    <w:rsid w:val="00862B59"/>
    <w:rsid w:val="00866B65"/>
    <w:rsid w:val="00892C58"/>
    <w:rsid w:val="008A4912"/>
    <w:rsid w:val="008B3860"/>
    <w:rsid w:val="008C09C3"/>
    <w:rsid w:val="008D706C"/>
    <w:rsid w:val="0090264D"/>
    <w:rsid w:val="00912DB1"/>
    <w:rsid w:val="0094122D"/>
    <w:rsid w:val="00945FA1"/>
    <w:rsid w:val="0097707B"/>
    <w:rsid w:val="009826D6"/>
    <w:rsid w:val="0098286C"/>
    <w:rsid w:val="009836D3"/>
    <w:rsid w:val="009A22B3"/>
    <w:rsid w:val="009A7244"/>
    <w:rsid w:val="009B6D1A"/>
    <w:rsid w:val="009D275E"/>
    <w:rsid w:val="009E4140"/>
    <w:rsid w:val="009E524E"/>
    <w:rsid w:val="009F3616"/>
    <w:rsid w:val="009F786C"/>
    <w:rsid w:val="00A46F0F"/>
    <w:rsid w:val="00A87B9E"/>
    <w:rsid w:val="00A935E0"/>
    <w:rsid w:val="00AD0BBF"/>
    <w:rsid w:val="00AF1603"/>
    <w:rsid w:val="00AF55F6"/>
    <w:rsid w:val="00B025D2"/>
    <w:rsid w:val="00B049C8"/>
    <w:rsid w:val="00B1127E"/>
    <w:rsid w:val="00B22872"/>
    <w:rsid w:val="00B30CEF"/>
    <w:rsid w:val="00B33F46"/>
    <w:rsid w:val="00B67C21"/>
    <w:rsid w:val="00B7304A"/>
    <w:rsid w:val="00B74B37"/>
    <w:rsid w:val="00B82246"/>
    <w:rsid w:val="00B9509F"/>
    <w:rsid w:val="00BA0BA2"/>
    <w:rsid w:val="00BB44E6"/>
    <w:rsid w:val="00BC4004"/>
    <w:rsid w:val="00BD2B20"/>
    <w:rsid w:val="00BD51C8"/>
    <w:rsid w:val="00BE0B1C"/>
    <w:rsid w:val="00BE567C"/>
    <w:rsid w:val="00BF3277"/>
    <w:rsid w:val="00C02436"/>
    <w:rsid w:val="00C07CF6"/>
    <w:rsid w:val="00C135C2"/>
    <w:rsid w:val="00C17757"/>
    <w:rsid w:val="00C178A5"/>
    <w:rsid w:val="00C26166"/>
    <w:rsid w:val="00C3663A"/>
    <w:rsid w:val="00C42C5B"/>
    <w:rsid w:val="00C44597"/>
    <w:rsid w:val="00C50189"/>
    <w:rsid w:val="00C82847"/>
    <w:rsid w:val="00C82E4F"/>
    <w:rsid w:val="00C85B1E"/>
    <w:rsid w:val="00C96479"/>
    <w:rsid w:val="00CB2EA4"/>
    <w:rsid w:val="00CC21E3"/>
    <w:rsid w:val="00CD0C4B"/>
    <w:rsid w:val="00CD7BEA"/>
    <w:rsid w:val="00CE2627"/>
    <w:rsid w:val="00D0055C"/>
    <w:rsid w:val="00D01494"/>
    <w:rsid w:val="00D10E11"/>
    <w:rsid w:val="00D12731"/>
    <w:rsid w:val="00D22068"/>
    <w:rsid w:val="00D30CE2"/>
    <w:rsid w:val="00D37810"/>
    <w:rsid w:val="00D95254"/>
    <w:rsid w:val="00DA1BE5"/>
    <w:rsid w:val="00DA53D3"/>
    <w:rsid w:val="00DA5981"/>
    <w:rsid w:val="00DB24B7"/>
    <w:rsid w:val="00E2441A"/>
    <w:rsid w:val="00E2497D"/>
    <w:rsid w:val="00E26103"/>
    <w:rsid w:val="00E41B6E"/>
    <w:rsid w:val="00E55837"/>
    <w:rsid w:val="00E622DB"/>
    <w:rsid w:val="00E85305"/>
    <w:rsid w:val="00E866A3"/>
    <w:rsid w:val="00EB1AAD"/>
    <w:rsid w:val="00EB20B1"/>
    <w:rsid w:val="00ED094E"/>
    <w:rsid w:val="00EE2201"/>
    <w:rsid w:val="00EE4EBE"/>
    <w:rsid w:val="00EE540C"/>
    <w:rsid w:val="00EF7F27"/>
    <w:rsid w:val="00F00597"/>
    <w:rsid w:val="00F04F39"/>
    <w:rsid w:val="00F0677D"/>
    <w:rsid w:val="00F11E2C"/>
    <w:rsid w:val="00F44DAD"/>
    <w:rsid w:val="00F470F7"/>
    <w:rsid w:val="00F953E1"/>
    <w:rsid w:val="00FB52DB"/>
    <w:rsid w:val="00FC308C"/>
    <w:rsid w:val="00FD4C53"/>
    <w:rsid w:val="00FD7BD3"/>
    <w:rsid w:val="00FE26C4"/>
    <w:rsid w:val="00F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C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21E3"/>
    <w:rPr>
      <w:rFonts w:ascii="Courier New" w:eastAsia="Times New Roman" w:hAnsi="Courier New" w:cs="Courier New"/>
      <w:sz w:val="20"/>
      <w:szCs w:val="20"/>
    </w:rPr>
  </w:style>
  <w:style w:type="character" w:styleId="Hyperlink">
    <w:name w:val="Hyperlink"/>
    <w:basedOn w:val="DefaultParagraphFont"/>
    <w:uiPriority w:val="99"/>
    <w:unhideWhenUsed/>
    <w:rsid w:val="00A935E0"/>
    <w:rPr>
      <w:color w:val="0000FF" w:themeColor="hyperlink"/>
      <w:u w:val="single"/>
    </w:rPr>
  </w:style>
  <w:style w:type="paragraph" w:styleId="ListParagraph">
    <w:name w:val="List Paragraph"/>
    <w:basedOn w:val="Normal"/>
    <w:uiPriority w:val="34"/>
    <w:qFormat/>
    <w:rsid w:val="00CE2627"/>
    <w:pPr>
      <w:ind w:left="720"/>
      <w:contextualSpacing/>
    </w:pPr>
  </w:style>
  <w:style w:type="character" w:customStyle="1" w:styleId="fontstyle01">
    <w:name w:val="fontstyle01"/>
    <w:basedOn w:val="DefaultParagraphFont"/>
    <w:rsid w:val="0051208D"/>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59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B27"/>
    <w:rPr>
      <w:rFonts w:ascii="Tahoma" w:hAnsi="Tahoma" w:cs="Tahoma"/>
      <w:sz w:val="16"/>
      <w:szCs w:val="16"/>
    </w:rPr>
  </w:style>
  <w:style w:type="character" w:customStyle="1" w:styleId="fontstyle21">
    <w:name w:val="fontstyle21"/>
    <w:basedOn w:val="DefaultParagraphFont"/>
    <w:rsid w:val="003B0073"/>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C1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2E7417"/>
    <w:rPr>
      <w:rFonts w:ascii="AdvOT1ef757c0+20" w:hAnsi="AdvOT1ef757c0+20"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C2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21E3"/>
    <w:rPr>
      <w:rFonts w:ascii="Courier New" w:eastAsia="Times New Roman" w:hAnsi="Courier New" w:cs="Courier New"/>
      <w:sz w:val="20"/>
      <w:szCs w:val="20"/>
    </w:rPr>
  </w:style>
  <w:style w:type="character" w:styleId="Hyperlink">
    <w:name w:val="Hyperlink"/>
    <w:basedOn w:val="DefaultParagraphFont"/>
    <w:uiPriority w:val="99"/>
    <w:unhideWhenUsed/>
    <w:rsid w:val="00A935E0"/>
    <w:rPr>
      <w:color w:val="0000FF" w:themeColor="hyperlink"/>
      <w:u w:val="single"/>
    </w:rPr>
  </w:style>
  <w:style w:type="paragraph" w:styleId="ListParagraph">
    <w:name w:val="List Paragraph"/>
    <w:basedOn w:val="Normal"/>
    <w:uiPriority w:val="34"/>
    <w:qFormat/>
    <w:rsid w:val="00CE2627"/>
    <w:pPr>
      <w:ind w:left="720"/>
      <w:contextualSpacing/>
    </w:pPr>
  </w:style>
  <w:style w:type="character" w:customStyle="1" w:styleId="fontstyle01">
    <w:name w:val="fontstyle01"/>
    <w:basedOn w:val="DefaultParagraphFont"/>
    <w:rsid w:val="0051208D"/>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59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B27"/>
    <w:rPr>
      <w:rFonts w:ascii="Tahoma" w:hAnsi="Tahoma" w:cs="Tahoma"/>
      <w:sz w:val="16"/>
      <w:szCs w:val="16"/>
    </w:rPr>
  </w:style>
  <w:style w:type="character" w:customStyle="1" w:styleId="fontstyle21">
    <w:name w:val="fontstyle21"/>
    <w:basedOn w:val="DefaultParagraphFont"/>
    <w:rsid w:val="003B0073"/>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C1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2E7417"/>
    <w:rPr>
      <w:rFonts w:ascii="AdvOT1ef757c0+20" w:hAnsi="AdvOT1ef757c0+20"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bagus.19003@mhs.unesa.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DFAD4E-A990-43A9-8C61-AF5E2F92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12</Pages>
  <Words>16012</Words>
  <Characters>91272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UNESA MANDARIN - Surabaya</Company>
  <LinksUpToDate>false</LinksUpToDate>
  <CharactersWithSpaces>107070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158</cp:revision>
  <dcterms:created xsi:type="dcterms:W3CDTF">2020-10-07T06:29:00Z</dcterms:created>
  <dcterms:modified xsi:type="dcterms:W3CDTF">2020-12-10T03:35:00Z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83073ce0-1291-3579-a60b-034ba079af96</vt:lpwstr>
  </property>
</Properties>
</file>